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E080F" w:rsidRPr="009E080F">
        <w:rPr>
          <w:szCs w:val="22"/>
        </w:rPr>
        <w:t xml:space="preserve">выполнение работ по капитальному ремонту </w:t>
      </w:r>
      <w:r w:rsidR="00640F62" w:rsidRPr="00640F62">
        <w:rPr>
          <w:szCs w:val="22"/>
        </w:rPr>
        <w:t>установок ЭЛОУ-АТ-4, Висбрекинг ВТ-6 (паровыжиг) I полугодие цех №1 согласно графику простоев в 2018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387BCC">
        <w:rPr>
          <w:szCs w:val="22"/>
        </w:rPr>
        <w:t>следующими лотами</w:t>
      </w:r>
      <w:r w:rsidR="004029C5">
        <w:rPr>
          <w:szCs w:val="22"/>
        </w:rPr>
        <w:t>:</w:t>
      </w:r>
    </w:p>
    <w:p w:rsidR="00640F62" w:rsidRDefault="00640F62" w:rsidP="00640F62">
      <w:pPr>
        <w:jc w:val="both"/>
        <w:rPr>
          <w:b/>
        </w:rPr>
      </w:pPr>
      <w:r w:rsidRPr="008F7FF7">
        <w:rPr>
          <w:b/>
          <w:szCs w:val="22"/>
        </w:rPr>
        <w:t>Лот №1</w:t>
      </w:r>
      <w:r>
        <w:rPr>
          <w:b/>
          <w:szCs w:val="22"/>
        </w:rPr>
        <w:t>.</w:t>
      </w:r>
      <w:r>
        <w:rPr>
          <w:szCs w:val="22"/>
        </w:rPr>
        <w:t xml:space="preserve"> Работы по </w:t>
      </w:r>
      <w:r w:rsidRPr="00D54220">
        <w:rPr>
          <w:szCs w:val="22"/>
        </w:rPr>
        <w:t>капитальном</w:t>
      </w:r>
      <w:r>
        <w:rPr>
          <w:szCs w:val="22"/>
        </w:rPr>
        <w:t>у ремонту установки ЭЛОУ-АТ-4.</w:t>
      </w:r>
    </w:p>
    <w:tbl>
      <w:tblPr>
        <w:tblW w:w="0" w:type="auto"/>
        <w:tblInd w:w="-25" w:type="dxa"/>
        <w:tblLayout w:type="fixed"/>
        <w:tblLook w:val="0000" w:firstRow="0" w:lastRow="0" w:firstColumn="0" w:lastColumn="0" w:noHBand="0" w:noVBand="0"/>
      </w:tblPr>
      <w:tblGrid>
        <w:gridCol w:w="517"/>
        <w:gridCol w:w="8547"/>
        <w:gridCol w:w="1134"/>
      </w:tblGrid>
      <w:tr w:rsidR="00640F62" w:rsidTr="00640F62">
        <w:tc>
          <w:tcPr>
            <w:tcW w:w="51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Объект</w:t>
            </w:r>
          </w:p>
        </w:tc>
      </w:tr>
      <w:tr w:rsidR="00640F62" w:rsidTr="00640F62">
        <w:trPr>
          <w:cantSplit/>
          <w:trHeight w:hRule="exact" w:val="3403"/>
        </w:trPr>
        <w:tc>
          <w:tcPr>
            <w:tcW w:w="517" w:type="dxa"/>
            <w:tcBorders>
              <w:top w:val="single" w:sz="4" w:space="0" w:color="000000"/>
              <w:left w:val="single" w:sz="4" w:space="0" w:color="000000"/>
              <w:bottom w:val="single" w:sz="4" w:space="0" w:color="000000"/>
            </w:tcBorders>
            <w:shd w:val="clear" w:color="auto" w:fill="auto"/>
          </w:tcPr>
          <w:p w:rsidR="00640F62" w:rsidRPr="00640F62" w:rsidRDefault="00640F62" w:rsidP="00640F62">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pacing w:before="0"/>
              <w:rPr>
                <w:sz w:val="20"/>
                <w:szCs w:val="20"/>
              </w:rPr>
            </w:pPr>
            <w:r w:rsidRPr="00640F62">
              <w:rPr>
                <w:sz w:val="20"/>
                <w:szCs w:val="20"/>
              </w:rPr>
              <w:t>1. Подготовительные мероприятия (установка межфланцевых заглушек Ду 20-500, вскрытие и демонтаж крышек люков диаметром до 450 мм, чистка от загрязнений, промывка);</w:t>
            </w:r>
          </w:p>
          <w:p w:rsidR="00640F62" w:rsidRPr="00640F62" w:rsidRDefault="00640F62" w:rsidP="00640F62">
            <w:pPr>
              <w:spacing w:before="0"/>
              <w:rPr>
                <w:sz w:val="20"/>
                <w:szCs w:val="20"/>
              </w:rPr>
            </w:pPr>
            <w:r w:rsidRPr="00640F62">
              <w:rPr>
                <w:sz w:val="20"/>
                <w:szCs w:val="20"/>
              </w:rPr>
              <w:t>2. Ремонт оборудования установки ( печное, фильтровальное, теплообменники, котельное оборудование, емкости, фильтра, дымовые трубы, аппараты воздушного охлаждения АВГ, АВЗ и т.д.);</w:t>
            </w:r>
          </w:p>
          <w:p w:rsidR="00640F62" w:rsidRPr="00640F62" w:rsidRDefault="00640F62" w:rsidP="00640F62">
            <w:pPr>
              <w:spacing w:before="0"/>
              <w:rPr>
                <w:sz w:val="20"/>
                <w:szCs w:val="20"/>
              </w:rPr>
            </w:pPr>
            <w:r w:rsidRPr="00640F62">
              <w:rPr>
                <w:sz w:val="20"/>
                <w:szCs w:val="20"/>
              </w:rPr>
              <w:t>3. Ремонт трубопроводов и запорной арматуры;</w:t>
            </w:r>
          </w:p>
          <w:p w:rsidR="00640F62" w:rsidRPr="00640F62" w:rsidRDefault="00640F62" w:rsidP="00640F62">
            <w:pPr>
              <w:spacing w:before="0"/>
              <w:rPr>
                <w:sz w:val="20"/>
                <w:szCs w:val="20"/>
              </w:rPr>
            </w:pPr>
            <w:r w:rsidRPr="00640F62">
              <w:rPr>
                <w:sz w:val="20"/>
                <w:szCs w:val="20"/>
              </w:rPr>
              <w:t>4. Ремонт  металлоконструкций и изоляции;</w:t>
            </w:r>
          </w:p>
          <w:p w:rsidR="00640F62" w:rsidRPr="00640F62" w:rsidRDefault="00640F62" w:rsidP="00640F62">
            <w:pPr>
              <w:spacing w:before="0"/>
              <w:rPr>
                <w:sz w:val="20"/>
                <w:szCs w:val="20"/>
              </w:rPr>
            </w:pPr>
            <w:r w:rsidRPr="00640F62">
              <w:rPr>
                <w:sz w:val="20"/>
                <w:szCs w:val="20"/>
              </w:rPr>
              <w:t>5. Ремонт НКО и вентиляции;</w:t>
            </w:r>
          </w:p>
          <w:p w:rsidR="00640F62" w:rsidRPr="00640F62" w:rsidRDefault="00640F62" w:rsidP="00640F62">
            <w:pPr>
              <w:spacing w:before="0"/>
              <w:rPr>
                <w:sz w:val="20"/>
                <w:szCs w:val="20"/>
              </w:rPr>
            </w:pPr>
            <w:r w:rsidRPr="00640F62">
              <w:rPr>
                <w:sz w:val="20"/>
                <w:szCs w:val="20"/>
              </w:rPr>
              <w:t>6. Ремонт КИП и А;</w:t>
            </w:r>
          </w:p>
          <w:p w:rsidR="00640F62" w:rsidRPr="00640F62" w:rsidRDefault="00640F62" w:rsidP="00640F62">
            <w:pPr>
              <w:spacing w:before="0"/>
              <w:rPr>
                <w:sz w:val="20"/>
                <w:szCs w:val="20"/>
              </w:rPr>
            </w:pPr>
            <w:r w:rsidRPr="00640F62">
              <w:rPr>
                <w:sz w:val="20"/>
                <w:szCs w:val="20"/>
              </w:rPr>
              <w:t>7. Ремонт электрооборудования.</w:t>
            </w:r>
          </w:p>
          <w:p w:rsidR="00640F62" w:rsidRPr="00640F62" w:rsidRDefault="00640F62" w:rsidP="00640F62">
            <w:pPr>
              <w:snapToGrid w:val="0"/>
              <w:spacing w:before="0"/>
              <w:rPr>
                <w:sz w:val="20"/>
                <w:szCs w:val="20"/>
              </w:rPr>
            </w:pPr>
            <w:r w:rsidRPr="00640F62">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ЭЛОУ-АТ-4 цех №1 ОАО «Славнефть-ЯНОС» в 2018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sz w:val="20"/>
                <w:szCs w:val="20"/>
              </w:rPr>
            </w:pPr>
            <w:r w:rsidRPr="00640F62">
              <w:rPr>
                <w:sz w:val="20"/>
                <w:szCs w:val="20"/>
              </w:rPr>
              <w:t xml:space="preserve">ЭЛОУ-АТ-4, </w:t>
            </w:r>
          </w:p>
          <w:p w:rsidR="00640F62" w:rsidRPr="00640F62" w:rsidRDefault="00640F62" w:rsidP="00640F62">
            <w:pPr>
              <w:snapToGrid w:val="0"/>
              <w:spacing w:before="0"/>
              <w:rPr>
                <w:sz w:val="20"/>
                <w:szCs w:val="20"/>
              </w:rPr>
            </w:pPr>
            <w:r w:rsidRPr="00640F62">
              <w:rPr>
                <w:sz w:val="20"/>
                <w:szCs w:val="20"/>
              </w:rPr>
              <w:t>цех №1</w:t>
            </w:r>
          </w:p>
        </w:tc>
      </w:tr>
    </w:tbl>
    <w:p w:rsidR="00640F62" w:rsidRDefault="00640F62" w:rsidP="00640F62">
      <w:pPr>
        <w:jc w:val="both"/>
        <w:rPr>
          <w:b/>
        </w:rPr>
      </w:pPr>
      <w:r>
        <w:rPr>
          <w:b/>
          <w:szCs w:val="22"/>
        </w:rPr>
        <w:t>Лот №2.</w:t>
      </w:r>
      <w:r>
        <w:rPr>
          <w:szCs w:val="22"/>
        </w:rPr>
        <w:t xml:space="preserve"> Работы по </w:t>
      </w:r>
      <w:r w:rsidRPr="00D54220">
        <w:rPr>
          <w:szCs w:val="22"/>
        </w:rPr>
        <w:t>капитальном</w:t>
      </w:r>
      <w:r>
        <w:rPr>
          <w:szCs w:val="22"/>
        </w:rPr>
        <w:t xml:space="preserve">у ремонту установки </w:t>
      </w:r>
      <w:r w:rsidRPr="00613BC8">
        <w:rPr>
          <w:szCs w:val="22"/>
        </w:rPr>
        <w:t>Висбрекинг ВТ-6 (паровыжиг)</w:t>
      </w:r>
      <w:r>
        <w:rPr>
          <w:szCs w:val="22"/>
        </w:rPr>
        <w:t>.</w:t>
      </w:r>
    </w:p>
    <w:tbl>
      <w:tblPr>
        <w:tblW w:w="0" w:type="auto"/>
        <w:tblInd w:w="-25" w:type="dxa"/>
        <w:tblLayout w:type="fixed"/>
        <w:tblLook w:val="0000" w:firstRow="0" w:lastRow="0" w:firstColumn="0" w:lastColumn="0" w:noHBand="0" w:noVBand="0"/>
      </w:tblPr>
      <w:tblGrid>
        <w:gridCol w:w="517"/>
        <w:gridCol w:w="8263"/>
        <w:gridCol w:w="1418"/>
      </w:tblGrid>
      <w:tr w:rsidR="00640F62" w:rsidTr="00640F62">
        <w:tc>
          <w:tcPr>
            <w:tcW w:w="51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 п/п</w:t>
            </w:r>
          </w:p>
        </w:tc>
        <w:tc>
          <w:tcPr>
            <w:tcW w:w="8263"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Объект</w:t>
            </w:r>
          </w:p>
        </w:tc>
      </w:tr>
      <w:tr w:rsidR="00640F62" w:rsidTr="00640F62">
        <w:trPr>
          <w:cantSplit/>
          <w:trHeight w:hRule="exact" w:val="2697"/>
        </w:trPr>
        <w:tc>
          <w:tcPr>
            <w:tcW w:w="517" w:type="dxa"/>
            <w:tcBorders>
              <w:top w:val="single" w:sz="4" w:space="0" w:color="000000"/>
              <w:left w:val="single" w:sz="4" w:space="0" w:color="000000"/>
              <w:bottom w:val="single" w:sz="4" w:space="0" w:color="000000"/>
            </w:tcBorders>
            <w:shd w:val="clear" w:color="auto" w:fill="auto"/>
          </w:tcPr>
          <w:p w:rsidR="00640F62" w:rsidRPr="00640F62" w:rsidRDefault="00640F62" w:rsidP="00640F62">
            <w:pPr>
              <w:snapToGrid w:val="0"/>
              <w:spacing w:before="0"/>
              <w:rPr>
                <w:b/>
                <w:sz w:val="20"/>
                <w:szCs w:val="20"/>
              </w:rPr>
            </w:pPr>
          </w:p>
        </w:tc>
        <w:tc>
          <w:tcPr>
            <w:tcW w:w="8263"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pacing w:before="0"/>
              <w:rPr>
                <w:sz w:val="20"/>
                <w:szCs w:val="20"/>
              </w:rPr>
            </w:pPr>
            <w:r w:rsidRPr="00640F62">
              <w:rPr>
                <w:sz w:val="20"/>
                <w:szCs w:val="20"/>
              </w:rPr>
              <w:t>1. Подготовительные мероприятия (установка межфланцевых заглушек Ду 20-200, вскрытие и демонтаж крышек люков диаметром  до 800 мм, чистка от загрязнений, промывка);</w:t>
            </w:r>
          </w:p>
          <w:p w:rsidR="00640F62" w:rsidRPr="00640F62" w:rsidRDefault="00640F62" w:rsidP="00640F62">
            <w:pPr>
              <w:spacing w:before="0"/>
              <w:rPr>
                <w:sz w:val="20"/>
                <w:szCs w:val="20"/>
              </w:rPr>
            </w:pPr>
            <w:r w:rsidRPr="00640F62">
              <w:rPr>
                <w:sz w:val="20"/>
                <w:szCs w:val="20"/>
              </w:rPr>
              <w:t>2. Ремонт оборудования установки (технологическое печное оборудование, дымовые трубы, паропроводы и т.д.);</w:t>
            </w:r>
          </w:p>
          <w:p w:rsidR="00640F62" w:rsidRPr="00640F62" w:rsidRDefault="00640F62" w:rsidP="00640F62">
            <w:pPr>
              <w:spacing w:before="0"/>
              <w:rPr>
                <w:sz w:val="20"/>
                <w:szCs w:val="20"/>
              </w:rPr>
            </w:pPr>
            <w:r w:rsidRPr="00640F62">
              <w:rPr>
                <w:sz w:val="20"/>
                <w:szCs w:val="20"/>
              </w:rPr>
              <w:t>3. Ревизия и ремонт горелок, диафрагм, термопар;</w:t>
            </w:r>
          </w:p>
          <w:p w:rsidR="00640F62" w:rsidRPr="00640F62" w:rsidRDefault="00640F62" w:rsidP="00640F62">
            <w:pPr>
              <w:spacing w:before="0"/>
              <w:rPr>
                <w:sz w:val="20"/>
                <w:szCs w:val="20"/>
              </w:rPr>
            </w:pPr>
            <w:r w:rsidRPr="00640F62">
              <w:rPr>
                <w:sz w:val="20"/>
                <w:szCs w:val="20"/>
              </w:rPr>
              <w:t>4. Ремонт  металлоконструкций и изоляции.</w:t>
            </w:r>
          </w:p>
          <w:p w:rsidR="00640F62" w:rsidRPr="00640F62" w:rsidRDefault="00640F62" w:rsidP="00640F62">
            <w:pPr>
              <w:snapToGrid w:val="0"/>
              <w:spacing w:before="0"/>
              <w:rPr>
                <w:sz w:val="20"/>
                <w:szCs w:val="20"/>
              </w:rPr>
            </w:pPr>
            <w:r w:rsidRPr="00640F62">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Висбрекинг ВТ-6 (паровыжиг) цех №1 ОАО «Славнефть-ЯНОС» в 2018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sz w:val="20"/>
                <w:szCs w:val="20"/>
              </w:rPr>
            </w:pPr>
            <w:r w:rsidRPr="00640F62">
              <w:rPr>
                <w:sz w:val="20"/>
                <w:szCs w:val="20"/>
              </w:rPr>
              <w:t>ВТ-6 Висбрекинг, цех №1</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Default="00EF1336" w:rsidP="00640F62">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640F62" w:rsidRPr="00640F62">
        <w:rPr>
          <w:b/>
          <w:szCs w:val="22"/>
        </w:rPr>
        <w:t>для лота №1</w:t>
      </w:r>
      <w:r w:rsidR="00640F62">
        <w:rPr>
          <w:b/>
          <w:szCs w:val="22"/>
        </w:rPr>
        <w:t xml:space="preserve"> </w:t>
      </w:r>
      <w:r w:rsidR="00640F62" w:rsidRPr="000D0490">
        <w:rPr>
          <w:szCs w:val="22"/>
        </w:rPr>
        <w:t>начало ра</w:t>
      </w:r>
      <w:r w:rsidR="00640F62">
        <w:rPr>
          <w:szCs w:val="22"/>
        </w:rPr>
        <w:t>бот – январь 2018</w:t>
      </w:r>
      <w:r w:rsidR="00640F62" w:rsidRPr="000D0490">
        <w:rPr>
          <w:szCs w:val="22"/>
        </w:rPr>
        <w:t xml:space="preserve"> г., окончание работ –</w:t>
      </w:r>
      <w:r w:rsidR="00640F62">
        <w:rPr>
          <w:szCs w:val="22"/>
        </w:rPr>
        <w:t xml:space="preserve"> март</w:t>
      </w:r>
      <w:r w:rsidR="00640F62" w:rsidRPr="00232DB5">
        <w:rPr>
          <w:szCs w:val="22"/>
        </w:rPr>
        <w:t xml:space="preserve"> 2018 г., количество дней простоя на ремонте</w:t>
      </w:r>
      <w:r w:rsidR="00640F62">
        <w:rPr>
          <w:szCs w:val="22"/>
        </w:rPr>
        <w:t xml:space="preserve"> 20 (двадцать</w:t>
      </w:r>
      <w:r w:rsidR="00640F62" w:rsidRPr="000D0490">
        <w:rPr>
          <w:szCs w:val="22"/>
        </w:rPr>
        <w:t>) календарных дней</w:t>
      </w:r>
      <w:r w:rsidR="00640F62">
        <w:rPr>
          <w:szCs w:val="22"/>
        </w:rPr>
        <w:t xml:space="preserve">, </w:t>
      </w:r>
      <w:r w:rsidR="00640F62" w:rsidRPr="00640F62">
        <w:rPr>
          <w:b/>
          <w:szCs w:val="22"/>
        </w:rPr>
        <w:t xml:space="preserve">для лота №2 </w:t>
      </w:r>
      <w:r w:rsidR="00640F62" w:rsidRPr="000D0490">
        <w:rPr>
          <w:szCs w:val="22"/>
        </w:rPr>
        <w:t>начало ра</w:t>
      </w:r>
      <w:r w:rsidR="00640F62">
        <w:rPr>
          <w:szCs w:val="22"/>
        </w:rPr>
        <w:t>бот – январь 2018</w:t>
      </w:r>
      <w:r w:rsidR="00640F62" w:rsidRPr="000D0490">
        <w:rPr>
          <w:szCs w:val="22"/>
        </w:rPr>
        <w:t xml:space="preserve"> г., окончание работ –</w:t>
      </w:r>
      <w:r w:rsidR="00640F62">
        <w:rPr>
          <w:szCs w:val="22"/>
        </w:rPr>
        <w:t xml:space="preserve"> </w:t>
      </w:r>
      <w:r w:rsidR="00640F62" w:rsidRPr="00232DB5">
        <w:rPr>
          <w:szCs w:val="22"/>
        </w:rPr>
        <w:t>апрель 2018 г., количество дней простоя на ремонте</w:t>
      </w:r>
      <w:r w:rsidR="00640F62">
        <w:rPr>
          <w:szCs w:val="22"/>
        </w:rPr>
        <w:t xml:space="preserve"> 18 (восемнадцать</w:t>
      </w:r>
      <w:r w:rsidR="00640F62" w:rsidRPr="000D0490">
        <w:rPr>
          <w:szCs w:val="22"/>
        </w:rPr>
        <w:t>) календарных дней.</w:t>
      </w:r>
      <w:r w:rsidR="00640F62" w:rsidRPr="004C407C">
        <w:rPr>
          <w:color w:val="FF0000"/>
          <w:szCs w:val="22"/>
        </w:rPr>
        <w:t xml:space="preserve"> </w:t>
      </w:r>
      <w:r w:rsidR="00640F62" w:rsidRPr="00DA743E">
        <w:rPr>
          <w:szCs w:val="22"/>
        </w:rPr>
        <w:t>Сроки</w:t>
      </w:r>
      <w:r w:rsidR="00640F62">
        <w:rPr>
          <w:szCs w:val="22"/>
        </w:rPr>
        <w:t xml:space="preserve"> начала работ указаны с учетом </w:t>
      </w:r>
      <w:r w:rsidR="00640F62" w:rsidRPr="00DA743E">
        <w:rPr>
          <w:szCs w:val="22"/>
        </w:rPr>
        <w:t>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 график работ, Приложение №3 к проектам Договоров).</w:t>
      </w:r>
      <w:r w:rsidR="00640F62">
        <w:rPr>
          <w:szCs w:val="22"/>
        </w:rPr>
        <w:t xml:space="preserve"> </w:t>
      </w:r>
      <w:r w:rsidR="00640F62" w:rsidRPr="00774474">
        <w:rPr>
          <w:szCs w:val="22"/>
        </w:rPr>
        <w:t>Окончание</w:t>
      </w:r>
      <w:r w:rsidR="00640F62">
        <w:rPr>
          <w:szCs w:val="22"/>
        </w:rPr>
        <w:t xml:space="preserve"> работ в целом и отдельных этапов (в случае их наличия) оформляются двусторонними актами выполненных работ.</w:t>
      </w:r>
    </w:p>
    <w:p w:rsidR="004029C5" w:rsidRDefault="00EF1336" w:rsidP="00947727">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640F62" w:rsidRDefault="00901A68" w:rsidP="00947727">
      <w:pPr>
        <w:autoSpaceDE w:val="0"/>
        <w:spacing w:before="0"/>
        <w:ind w:firstLine="720"/>
        <w:jc w:val="both"/>
        <w:rPr>
          <w:rFonts w:cs="Arial"/>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w:t>
      </w:r>
      <w:r w:rsidRPr="00640F62">
        <w:rPr>
          <w:rFonts w:cs="Arial"/>
          <w:szCs w:val="22"/>
        </w:rPr>
        <w:t>приобретенных Подрядчиком материалов) оплате Заказчиком не подлежит.</w:t>
      </w:r>
    </w:p>
    <w:p w:rsidR="00640F62" w:rsidRPr="00640F62" w:rsidRDefault="00640F62" w:rsidP="00947727">
      <w:pPr>
        <w:autoSpaceDE w:val="0"/>
        <w:spacing w:before="0"/>
        <w:ind w:firstLine="720"/>
        <w:jc w:val="both"/>
        <w:rPr>
          <w:rFonts w:cs="Arial"/>
          <w:szCs w:val="22"/>
        </w:rPr>
      </w:pPr>
      <w:r w:rsidRPr="00640F62">
        <w:rPr>
          <w:rFonts w:cs="Arial"/>
          <w:szCs w:val="22"/>
        </w:rPr>
        <w:t>В случае возникновения непредвиденных работ не указанных</w:t>
      </w:r>
      <w:r w:rsidRPr="00640F62">
        <w:rPr>
          <w:rFonts w:cs="Arial"/>
          <w:color w:val="000000"/>
          <w:szCs w:val="22"/>
        </w:rPr>
        <w:t xml:space="preserve"> в дефектной ведомости</w:t>
      </w:r>
      <w:r w:rsidRPr="00640F62">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w:t>
      </w:r>
      <w:r w:rsidRPr="00640F62">
        <w:rPr>
          <w:rFonts w:cs="Arial"/>
          <w:szCs w:val="22"/>
        </w:rPr>
        <w:lastRenderedPageBreak/>
        <w:t xml:space="preserve">расчетами, </w:t>
      </w:r>
      <w:r w:rsidRPr="00640F62">
        <w:rPr>
          <w:rFonts w:cs="Arial"/>
          <w:color w:val="000000"/>
          <w:szCs w:val="22"/>
        </w:rPr>
        <w:t xml:space="preserve">выполненными на основании утвержденной Заказчиком дополнительной дефектной ведомости и  следующих </w:t>
      </w:r>
      <w:r w:rsidRPr="00640F62">
        <w:rPr>
          <w:rFonts w:cs="Arial"/>
          <w:szCs w:val="22"/>
        </w:rPr>
        <w:t>показателей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Количество</w:t>
            </w: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947727">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947727">
            <w:pPr>
              <w:snapToGrid w:val="0"/>
              <w:spacing w:before="0"/>
              <w:rPr>
                <w:rFonts w:cs="Arial"/>
                <w:b/>
              </w:rPr>
            </w:pPr>
          </w:p>
        </w:tc>
      </w:tr>
    </w:tbl>
    <w:p w:rsidR="00640F62" w:rsidRPr="00640F62" w:rsidRDefault="00640F62" w:rsidP="00947727">
      <w:pPr>
        <w:autoSpaceDE w:val="0"/>
        <w:spacing w:before="0"/>
        <w:ind w:firstLine="720"/>
        <w:jc w:val="both"/>
        <w:rPr>
          <w:rFonts w:cs="Arial"/>
          <w:szCs w:val="22"/>
        </w:rPr>
      </w:pPr>
      <w:r w:rsidRPr="00640F62">
        <w:rPr>
          <w:rFonts w:cs="Arial"/>
          <w:szCs w:val="22"/>
        </w:rPr>
        <w:t>Удорожание работ, не предусмотренное дополнительным соглашением к Договору подряда, оплате не подлежит.</w:t>
      </w:r>
    </w:p>
    <w:p w:rsidR="00640F62" w:rsidRPr="00640F62" w:rsidRDefault="00640F62" w:rsidP="00947727">
      <w:pPr>
        <w:autoSpaceDE w:val="0"/>
        <w:spacing w:before="0"/>
        <w:ind w:firstLine="720"/>
        <w:jc w:val="both"/>
        <w:rPr>
          <w:rFonts w:cs="Arial"/>
          <w:szCs w:val="22"/>
        </w:rPr>
      </w:pPr>
      <w:r w:rsidRPr="00640F62">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640F62" w:rsidRPr="00640F62" w:rsidRDefault="00640F62" w:rsidP="00947727">
      <w:pPr>
        <w:spacing w:before="0"/>
        <w:ind w:firstLine="567"/>
        <w:jc w:val="both"/>
        <w:rPr>
          <w:rFonts w:cs="Arial"/>
          <w:szCs w:val="22"/>
        </w:rPr>
      </w:pPr>
      <w:r w:rsidRPr="00640F62">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640F62" w:rsidRPr="00640F62" w:rsidRDefault="00640F62" w:rsidP="00947727">
      <w:pPr>
        <w:spacing w:before="0"/>
        <w:ind w:firstLine="567"/>
        <w:jc w:val="both"/>
        <w:rPr>
          <w:rFonts w:cs="Arial"/>
          <w:szCs w:val="22"/>
        </w:rPr>
      </w:pPr>
      <w:r w:rsidRPr="00640F62">
        <w:rPr>
          <w:rFonts w:cs="Arial"/>
          <w:szCs w:val="22"/>
        </w:rPr>
        <w:t>Стоимость опциона - не более 20 % от стоимости работ по Договору, указанной в п. 3.1.</w:t>
      </w:r>
    </w:p>
    <w:p w:rsidR="00640F62" w:rsidRPr="00640F62" w:rsidRDefault="00640F62" w:rsidP="00947727">
      <w:pPr>
        <w:spacing w:before="0"/>
        <w:jc w:val="both"/>
        <w:rPr>
          <w:rFonts w:cs="Arial"/>
          <w:szCs w:val="22"/>
        </w:rPr>
      </w:pPr>
      <w:r w:rsidRPr="00640F62">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640F62" w:rsidRPr="00640F62" w:rsidRDefault="00640F62" w:rsidP="00947727">
      <w:pPr>
        <w:spacing w:before="0"/>
        <w:ind w:firstLine="709"/>
        <w:jc w:val="both"/>
        <w:rPr>
          <w:rFonts w:cs="Arial"/>
          <w:szCs w:val="22"/>
        </w:rPr>
      </w:pPr>
      <w:r w:rsidRPr="00640F62">
        <w:rPr>
          <w:rFonts w:cs="Arial"/>
          <w:szCs w:val="22"/>
        </w:rPr>
        <w:t>Выбор подрядчика на проведение комплекса работ будет осуществляться в два этапа:</w:t>
      </w:r>
    </w:p>
    <w:p w:rsidR="00640F62" w:rsidRPr="00640F62" w:rsidRDefault="00640F62" w:rsidP="00947727">
      <w:pPr>
        <w:numPr>
          <w:ilvl w:val="0"/>
          <w:numId w:val="13"/>
        </w:numPr>
        <w:spacing w:before="0"/>
        <w:jc w:val="both"/>
        <w:rPr>
          <w:rFonts w:cs="Arial"/>
          <w:szCs w:val="22"/>
        </w:rPr>
      </w:pPr>
      <w:r w:rsidRPr="00640F62">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640F62" w:rsidRPr="00640F62" w:rsidRDefault="00640F62" w:rsidP="00947727">
      <w:pPr>
        <w:numPr>
          <w:ilvl w:val="0"/>
          <w:numId w:val="13"/>
        </w:numPr>
        <w:spacing w:before="0"/>
        <w:jc w:val="both"/>
        <w:rPr>
          <w:rFonts w:cs="Arial"/>
          <w:szCs w:val="22"/>
        </w:rPr>
      </w:pPr>
      <w:r w:rsidRPr="00640F62">
        <w:rPr>
          <w:rFonts w:cs="Arial"/>
          <w:szCs w:val="22"/>
        </w:rPr>
        <w:t>Этап рассмотрения коммерческих частей оферт – по совокупности следующих критериев оценки:</w:t>
      </w:r>
    </w:p>
    <w:p w:rsidR="00640F62" w:rsidRPr="00640F62" w:rsidRDefault="00640F62" w:rsidP="00947727">
      <w:pPr>
        <w:spacing w:before="0"/>
        <w:ind w:firstLine="567"/>
        <w:jc w:val="both"/>
        <w:rPr>
          <w:rFonts w:cs="Arial"/>
          <w:b/>
          <w:szCs w:val="22"/>
        </w:rPr>
      </w:pPr>
      <w:r w:rsidRPr="00640F62">
        <w:rPr>
          <w:rFonts w:cs="Arial"/>
          <w:szCs w:val="22"/>
        </w:rPr>
        <w:t xml:space="preserve">- твердая договорная цена на работы по капитальному ремонту установок ЭЛОУ-АТ-4, Висбрекинг ВТ-6 (паровыжиг) </w:t>
      </w:r>
      <w:r w:rsidRPr="00640F62">
        <w:rPr>
          <w:rFonts w:cs="Arial"/>
          <w:szCs w:val="22"/>
          <w:lang w:val="en-US"/>
        </w:rPr>
        <w:t>I</w:t>
      </w:r>
      <w:r w:rsidRPr="00640F62">
        <w:rPr>
          <w:rFonts w:cs="Arial"/>
          <w:szCs w:val="22"/>
        </w:rPr>
        <w:t xml:space="preserve"> полугодие цех №1 согласно графика простоев в 2018 г.</w:t>
      </w:r>
      <w:r w:rsidRPr="00640F62">
        <w:rPr>
          <w:rFonts w:cs="Arial"/>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8C7C95" w:rsidRPr="00640F62" w:rsidRDefault="00640F62" w:rsidP="00947727">
      <w:pPr>
        <w:spacing w:before="0"/>
        <w:ind w:left="284"/>
        <w:jc w:val="both"/>
        <w:rPr>
          <w:rFonts w:cs="Arial"/>
          <w:b/>
          <w:szCs w:val="22"/>
        </w:rPr>
      </w:pPr>
      <w:r w:rsidRPr="00640F62">
        <w:rPr>
          <w:rFonts w:cs="Arial"/>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9E080F" w:rsidRPr="00640F62">
        <w:rPr>
          <w:rFonts w:cs="Arial"/>
          <w:szCs w:val="22"/>
        </w:rPr>
        <w:t xml:space="preserve"> (по Форме 1</w:t>
      </w:r>
      <w:r w:rsidR="000D43CD" w:rsidRPr="00640F62">
        <w:rPr>
          <w:rFonts w:cs="Arial"/>
          <w:szCs w:val="22"/>
        </w:rPr>
        <w:t>2</w:t>
      </w:r>
      <w:r w:rsidR="009E080F" w:rsidRPr="00640F62">
        <w:rPr>
          <w:rFonts w:cs="Arial"/>
          <w:szCs w:val="22"/>
        </w:rPr>
        <w:t xml:space="preserve"> ПДО)</w:t>
      </w:r>
      <w:r w:rsidR="008C7C95" w:rsidRPr="00640F62">
        <w:rPr>
          <w:rFonts w:cs="Arial"/>
          <w:b/>
          <w:szCs w:val="22"/>
        </w:rPr>
        <w:t>.</w:t>
      </w:r>
    </w:p>
    <w:p w:rsidR="00177467" w:rsidRPr="006616DB" w:rsidRDefault="008F0C98" w:rsidP="006616DB">
      <w:pPr>
        <w:autoSpaceDE w:val="0"/>
        <w:spacing w:before="0"/>
        <w:jc w:val="both"/>
        <w:rPr>
          <w:b/>
          <w:szCs w:val="22"/>
        </w:rPr>
      </w:pPr>
      <w:r w:rsidRPr="006E2A11">
        <w:rPr>
          <w:rFonts w:cs="Arial"/>
          <w:b/>
          <w:szCs w:val="22"/>
          <w:u w:val="single"/>
        </w:rPr>
        <w:t>Проектно-техническая документация:</w:t>
      </w:r>
      <w:r w:rsidR="00383FC0">
        <w:rPr>
          <w:b/>
          <w:szCs w:val="22"/>
        </w:rPr>
        <w:t xml:space="preserve"> </w:t>
      </w:r>
      <w:r w:rsidR="006616DB" w:rsidRPr="006616DB">
        <w:rPr>
          <w:b/>
          <w:szCs w:val="22"/>
          <w:highlight w:val="yellow"/>
        </w:rPr>
        <w:t>выдается с электронном виде и размещена на http://yanos.slavneft.ru/files/PDO412-KR-2017_636410775702154180.7z</w:t>
      </w:r>
      <w:bookmarkStart w:id="0" w:name="_GoBack"/>
      <w:bookmarkEnd w:id="0"/>
    </w:p>
    <w:p w:rsidR="00177467" w:rsidRDefault="00177467" w:rsidP="00177467">
      <w:pPr>
        <w:autoSpaceDE w:val="0"/>
        <w:jc w:val="both"/>
        <w:rPr>
          <w:szCs w:val="22"/>
        </w:rPr>
      </w:pPr>
      <w:r w:rsidRPr="00106B40">
        <w:rPr>
          <w:b/>
          <w:szCs w:val="22"/>
        </w:rPr>
        <w:t>Лот №1</w:t>
      </w:r>
      <w:r>
        <w:rPr>
          <w:b/>
          <w:szCs w:val="22"/>
        </w:rPr>
        <w:t>.</w:t>
      </w:r>
      <w:r w:rsidRPr="00106B40">
        <w:rPr>
          <w:b/>
          <w:szCs w:val="22"/>
        </w:rPr>
        <w:t xml:space="preserve"> </w:t>
      </w:r>
      <w:r w:rsidR="00640F62">
        <w:rPr>
          <w:szCs w:val="22"/>
        </w:rPr>
        <w:t xml:space="preserve">Утвержденная дефектная ведомость на Работы по </w:t>
      </w:r>
      <w:r w:rsidR="00640F62" w:rsidRPr="00D54220">
        <w:rPr>
          <w:szCs w:val="22"/>
        </w:rPr>
        <w:t>капитальном</w:t>
      </w:r>
      <w:r w:rsidR="00640F62">
        <w:rPr>
          <w:szCs w:val="22"/>
        </w:rPr>
        <w:t xml:space="preserve">у ремонту установки ЭЛОУ-АТ-4 </w:t>
      </w:r>
      <w:r w:rsidR="00640F62" w:rsidRPr="00613BC8">
        <w:rPr>
          <w:szCs w:val="22"/>
        </w:rPr>
        <w:t>цех № 1</w:t>
      </w:r>
      <w:r w:rsidR="00640F62" w:rsidRPr="008D6F02">
        <w:rPr>
          <w:szCs w:val="22"/>
        </w:rPr>
        <w:t xml:space="preserve"> согласно графика прост</w:t>
      </w:r>
      <w:r w:rsidR="00640F62">
        <w:rPr>
          <w:szCs w:val="22"/>
        </w:rPr>
        <w:t>о</w:t>
      </w:r>
      <w:r w:rsidR="00640F62" w:rsidRPr="008D6F02">
        <w:rPr>
          <w:szCs w:val="22"/>
        </w:rPr>
        <w:t>ев в 2018 г.</w:t>
      </w:r>
      <w:r w:rsidR="00640F62">
        <w:rPr>
          <w:szCs w:val="22"/>
        </w:rPr>
        <w:t xml:space="preserve">, утвержденная ведомость поставки материалов на капитальный ремонт установки ЭЛОУ-АТ-4 </w:t>
      </w:r>
      <w:r w:rsidR="00640F62" w:rsidRPr="00613BC8">
        <w:rPr>
          <w:szCs w:val="22"/>
        </w:rPr>
        <w:t>цех №1</w:t>
      </w:r>
      <w:r w:rsidR="00640F62">
        <w:rPr>
          <w:szCs w:val="22"/>
        </w:rPr>
        <w:t xml:space="preserve"> в 2018 г., локальные сметы </w:t>
      </w:r>
      <w:r w:rsidR="00640F62" w:rsidRPr="00457DD5">
        <w:rPr>
          <w:szCs w:val="22"/>
        </w:rPr>
        <w:t>№</w:t>
      </w:r>
      <w:r w:rsidR="00640F62">
        <w:rPr>
          <w:szCs w:val="22"/>
        </w:rPr>
        <w:t>7-2017, 19/17, 20/17, 01:00003, 01:00004,101-2017, 32/17</w:t>
      </w:r>
      <w:r w:rsidR="00640F62">
        <w:rPr>
          <w:b/>
          <w:szCs w:val="22"/>
        </w:rPr>
        <w:t xml:space="preserve"> </w:t>
      </w:r>
      <w:r w:rsidR="00640F62">
        <w:rPr>
          <w:szCs w:val="22"/>
        </w:rPr>
        <w:t xml:space="preserve">на Работы по </w:t>
      </w:r>
      <w:r w:rsidR="00640F62" w:rsidRPr="00D54220">
        <w:rPr>
          <w:szCs w:val="22"/>
        </w:rPr>
        <w:t>капитальном</w:t>
      </w:r>
      <w:r w:rsidR="00640F62">
        <w:rPr>
          <w:szCs w:val="22"/>
        </w:rPr>
        <w:t xml:space="preserve">у ремонту установки ЭЛОУ-АТ-4 </w:t>
      </w:r>
      <w:r w:rsidR="00640F62" w:rsidRPr="00613BC8">
        <w:rPr>
          <w:szCs w:val="22"/>
        </w:rPr>
        <w:t>цех №1</w:t>
      </w:r>
      <w:r w:rsidR="00640F62">
        <w:rPr>
          <w:szCs w:val="22"/>
        </w:rPr>
        <w:t xml:space="preserve"> в 2018 г. </w:t>
      </w:r>
      <w:r w:rsidR="00640F62" w:rsidRPr="00F815C6">
        <w:rPr>
          <w:color w:val="000000"/>
          <w:szCs w:val="22"/>
        </w:rPr>
        <w:t xml:space="preserve">передаются Контрагентам в электронном </w:t>
      </w:r>
      <w:r w:rsidR="00640F62" w:rsidRPr="00F815C6">
        <w:rPr>
          <w:szCs w:val="22"/>
        </w:rPr>
        <w:t xml:space="preserve">виде, посредством </w:t>
      </w:r>
      <w:r w:rsidR="00640F62" w:rsidRPr="00F815C6">
        <w:rPr>
          <w:szCs w:val="22"/>
          <w:lang w:val="en-US"/>
        </w:rPr>
        <w:t>USB</w:t>
      </w:r>
      <w:r w:rsidR="00640F62" w:rsidRPr="00F815C6">
        <w:rPr>
          <w:szCs w:val="22"/>
        </w:rPr>
        <w:t xml:space="preserve"> флеш - накопителя / электронной почты</w:t>
      </w:r>
      <w:r w:rsidRPr="00F815C6">
        <w:rPr>
          <w:szCs w:val="22"/>
        </w:rPr>
        <w:t>.</w:t>
      </w:r>
    </w:p>
    <w:p w:rsidR="00177467" w:rsidRDefault="00177467" w:rsidP="00177467">
      <w:pPr>
        <w:autoSpaceDE w:val="0"/>
        <w:jc w:val="both"/>
        <w:rPr>
          <w:szCs w:val="22"/>
        </w:rPr>
      </w:pPr>
      <w:r>
        <w:rPr>
          <w:b/>
          <w:szCs w:val="22"/>
        </w:rPr>
        <w:t>Лот № 2</w:t>
      </w:r>
      <w:r w:rsidRPr="00106B40">
        <w:rPr>
          <w:b/>
          <w:szCs w:val="22"/>
        </w:rPr>
        <w:t xml:space="preserve">: </w:t>
      </w:r>
      <w:r w:rsidR="00640F62">
        <w:rPr>
          <w:szCs w:val="22"/>
        </w:rPr>
        <w:t xml:space="preserve">Утвержденная дефектная ведомость на Работы по </w:t>
      </w:r>
      <w:r w:rsidR="00640F62" w:rsidRPr="00D54220">
        <w:rPr>
          <w:szCs w:val="22"/>
        </w:rPr>
        <w:t>капитальном</w:t>
      </w:r>
      <w:r w:rsidR="00640F62">
        <w:rPr>
          <w:szCs w:val="22"/>
        </w:rPr>
        <w:t xml:space="preserve">у ремонту </w:t>
      </w:r>
      <w:r w:rsidR="00640F62" w:rsidRPr="00613BC8">
        <w:rPr>
          <w:szCs w:val="22"/>
        </w:rPr>
        <w:t xml:space="preserve">Висбрекинг ВТ-6 (паровыжиг) </w:t>
      </w:r>
      <w:r w:rsidR="00640F62" w:rsidRPr="00613BC8">
        <w:rPr>
          <w:szCs w:val="22"/>
          <w:lang w:val="en-US"/>
        </w:rPr>
        <w:t>I</w:t>
      </w:r>
      <w:r w:rsidR="00640F62" w:rsidRPr="00613BC8">
        <w:rPr>
          <w:szCs w:val="22"/>
        </w:rPr>
        <w:t xml:space="preserve"> полугодие цех №1</w:t>
      </w:r>
      <w:r w:rsidR="00640F62" w:rsidRPr="008D6F02">
        <w:rPr>
          <w:szCs w:val="22"/>
        </w:rPr>
        <w:t xml:space="preserve"> согласно графика прост</w:t>
      </w:r>
      <w:r w:rsidR="00640F62">
        <w:rPr>
          <w:szCs w:val="22"/>
        </w:rPr>
        <w:t>о</w:t>
      </w:r>
      <w:r w:rsidR="00640F62" w:rsidRPr="008D6F02">
        <w:rPr>
          <w:szCs w:val="22"/>
        </w:rPr>
        <w:t>ев в 2018 г.</w:t>
      </w:r>
      <w:r w:rsidR="00640F62">
        <w:rPr>
          <w:szCs w:val="22"/>
        </w:rPr>
        <w:t xml:space="preserve">, локальная смета №3-2017 на Работы по </w:t>
      </w:r>
      <w:r w:rsidR="00640F62" w:rsidRPr="00D54220">
        <w:rPr>
          <w:szCs w:val="22"/>
        </w:rPr>
        <w:t>капитальном</w:t>
      </w:r>
      <w:r w:rsidR="00640F62">
        <w:rPr>
          <w:szCs w:val="22"/>
        </w:rPr>
        <w:t xml:space="preserve">у ремонту установки </w:t>
      </w:r>
      <w:r w:rsidR="00640F62" w:rsidRPr="00613BC8">
        <w:rPr>
          <w:szCs w:val="22"/>
        </w:rPr>
        <w:t xml:space="preserve">Висбрекинг ВТ-6 (паровыжиг) </w:t>
      </w:r>
      <w:r w:rsidR="00640F62" w:rsidRPr="00613BC8">
        <w:rPr>
          <w:szCs w:val="22"/>
          <w:lang w:val="en-US"/>
        </w:rPr>
        <w:t>I</w:t>
      </w:r>
      <w:r w:rsidR="00640F62" w:rsidRPr="00613BC8">
        <w:rPr>
          <w:szCs w:val="22"/>
        </w:rPr>
        <w:t xml:space="preserve"> полугодие цех №1</w:t>
      </w:r>
      <w:r w:rsidR="00640F62">
        <w:rPr>
          <w:szCs w:val="22"/>
        </w:rPr>
        <w:t xml:space="preserve"> в 2018 г.</w:t>
      </w:r>
      <w:r w:rsidR="00640F62" w:rsidRPr="00F815C6">
        <w:rPr>
          <w:szCs w:val="22"/>
        </w:rPr>
        <w:t xml:space="preserve"> </w:t>
      </w:r>
      <w:r w:rsidR="00640F62" w:rsidRPr="00F815C6">
        <w:rPr>
          <w:color w:val="000000"/>
          <w:szCs w:val="22"/>
        </w:rPr>
        <w:t xml:space="preserve">передаются Контрагентам в электронном </w:t>
      </w:r>
      <w:r w:rsidR="00640F62" w:rsidRPr="00F815C6">
        <w:rPr>
          <w:szCs w:val="22"/>
        </w:rPr>
        <w:t xml:space="preserve">виде, посредством </w:t>
      </w:r>
      <w:r w:rsidR="00640F62" w:rsidRPr="00F815C6">
        <w:rPr>
          <w:szCs w:val="22"/>
          <w:lang w:val="en-US"/>
        </w:rPr>
        <w:t>USB</w:t>
      </w:r>
      <w:r w:rsidR="00640F62" w:rsidRPr="00F815C6">
        <w:rPr>
          <w:szCs w:val="22"/>
        </w:rPr>
        <w:t xml:space="preserve"> флеш - накопителя / электронной почты</w:t>
      </w:r>
      <w:r w:rsidRPr="00F815C6">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lastRenderedPageBreak/>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931D91">
        <w:rPr>
          <w:szCs w:val="22"/>
        </w:rPr>
        <w:t>СП 16.13330.2011, СП 63.13330.2012, СП 70.13330.2012, СП 45.13330.2012, СП 75.13330.2011, СП 61.13330.2012, СП 126.13330.2012</w:t>
      </w:r>
      <w:r w:rsidR="00931D91"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 xml:space="preserve">Локальные </w:t>
      </w:r>
      <w:r w:rsidRPr="00931D91">
        <w:rPr>
          <w:b/>
          <w:szCs w:val="22"/>
        </w:rPr>
        <w:t>сметы №</w:t>
      </w:r>
      <w:r w:rsidR="00640F62" w:rsidRPr="00A44D34">
        <w:rPr>
          <w:b/>
          <w:szCs w:val="22"/>
        </w:rPr>
        <w:t>7-2017, 19/17, 20/17, 01:00003, 01:00004,101-2017, 32/17</w:t>
      </w:r>
      <w:r w:rsidR="00640F62">
        <w:rPr>
          <w:b/>
          <w:szCs w:val="22"/>
        </w:rPr>
        <w:t>,</w:t>
      </w:r>
      <w:r w:rsidR="00640F62" w:rsidRPr="00A44D34">
        <w:rPr>
          <w:b/>
          <w:szCs w:val="22"/>
        </w:rPr>
        <w:t xml:space="preserve"> 3-2017</w:t>
      </w:r>
      <w:r w:rsidRPr="00931D91">
        <w:rPr>
          <w:b/>
          <w:szCs w:val="22"/>
        </w:rPr>
        <w:t>, представленные в составе проектно-технической документации изменениям со стороны контрагентов не подлежат</w:t>
      </w:r>
      <w:r w:rsidR="00DE65E5" w:rsidRPr="00931D91">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17" w:type="dxa"/>
        <w:tblInd w:w="83" w:type="dxa"/>
        <w:tblLayout w:type="fixed"/>
        <w:tblLook w:val="0000" w:firstRow="0" w:lastRow="0" w:firstColumn="0" w:lastColumn="0" w:noHBand="0" w:noVBand="0"/>
      </w:tblPr>
      <w:tblGrid>
        <w:gridCol w:w="660"/>
        <w:gridCol w:w="3901"/>
        <w:gridCol w:w="2779"/>
        <w:gridCol w:w="1335"/>
        <w:gridCol w:w="1642"/>
      </w:tblGrid>
      <w:tr w:rsidR="00947727" w:rsidTr="00947727">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3975BB">
            <w:pPr>
              <w:rPr>
                <w:b/>
                <w:bCs/>
                <w:sz w:val="20"/>
                <w:szCs w:val="20"/>
              </w:rPr>
            </w:pPr>
            <w:r w:rsidRPr="00947727">
              <w:rPr>
                <w:b/>
                <w:bCs/>
                <w:sz w:val="20"/>
                <w:szCs w:val="20"/>
              </w:rPr>
              <w:t>№ п/п</w:t>
            </w:r>
          </w:p>
        </w:tc>
        <w:tc>
          <w:tcPr>
            <w:tcW w:w="3901"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3975BB">
            <w:pPr>
              <w:rPr>
                <w:rFonts w:cs="Arial"/>
                <w:b/>
                <w:bCs/>
                <w:sz w:val="20"/>
                <w:szCs w:val="20"/>
              </w:rPr>
            </w:pPr>
            <w:r w:rsidRPr="00947727">
              <w:rPr>
                <w:rFonts w:cs="Arial"/>
                <w:b/>
                <w:bCs/>
                <w:sz w:val="20"/>
                <w:szCs w:val="20"/>
              </w:rPr>
              <w:t xml:space="preserve">Требование </w:t>
            </w:r>
            <w:r w:rsidRPr="00947727">
              <w:rPr>
                <w:rFonts w:cs="Arial"/>
                <w:b/>
                <w:bCs/>
                <w:sz w:val="20"/>
                <w:szCs w:val="20"/>
              </w:rPr>
              <w:br/>
              <w:t>(параметр оценки)</w:t>
            </w:r>
          </w:p>
        </w:tc>
        <w:tc>
          <w:tcPr>
            <w:tcW w:w="2779"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3975BB">
            <w:pPr>
              <w:rPr>
                <w:rFonts w:cs="Arial"/>
                <w:b/>
                <w:bCs/>
                <w:sz w:val="20"/>
                <w:szCs w:val="20"/>
              </w:rPr>
            </w:pPr>
            <w:r w:rsidRPr="00947727">
              <w:rPr>
                <w:rFonts w:cs="Arial"/>
                <w:b/>
                <w:bCs/>
                <w:sz w:val="20"/>
                <w:szCs w:val="20"/>
              </w:rPr>
              <w:t>Документы, подтверждающие соответствия требованию</w:t>
            </w:r>
          </w:p>
        </w:tc>
        <w:tc>
          <w:tcPr>
            <w:tcW w:w="1335"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3975BB">
            <w:pPr>
              <w:rPr>
                <w:rFonts w:cs="Arial"/>
                <w:b/>
                <w:bCs/>
                <w:sz w:val="20"/>
                <w:szCs w:val="20"/>
              </w:rPr>
            </w:pPr>
            <w:r w:rsidRPr="00947727">
              <w:rPr>
                <w:rFonts w:cs="Arial"/>
                <w:b/>
                <w:bCs/>
                <w:sz w:val="20"/>
                <w:szCs w:val="20"/>
              </w:rPr>
              <w:t>Единица измерения</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47727" w:rsidRPr="00947727" w:rsidRDefault="00947727" w:rsidP="003975BB">
            <w:pPr>
              <w:rPr>
                <w:rFonts w:cs="Arial"/>
                <w:b/>
                <w:bCs/>
                <w:sz w:val="20"/>
                <w:szCs w:val="20"/>
              </w:rPr>
            </w:pPr>
            <w:r w:rsidRPr="00947727">
              <w:rPr>
                <w:rFonts w:cs="Arial"/>
                <w:b/>
                <w:bCs/>
                <w:sz w:val="20"/>
                <w:szCs w:val="20"/>
              </w:rPr>
              <w:t>Условия соответствия</w:t>
            </w:r>
          </w:p>
        </w:tc>
      </w:tr>
      <w:tr w:rsidR="00947727" w:rsidTr="00947727">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947727">
            <w:pPr>
              <w:rPr>
                <w:b/>
                <w:sz w:val="20"/>
                <w:szCs w:val="20"/>
              </w:rPr>
            </w:pPr>
            <w:r w:rsidRPr="00947727">
              <w:rPr>
                <w:b/>
                <w:sz w:val="20"/>
                <w:szCs w:val="20"/>
              </w:rPr>
              <w:t>1</w:t>
            </w:r>
          </w:p>
        </w:tc>
        <w:tc>
          <w:tcPr>
            <w:tcW w:w="3901"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947727">
            <w:pPr>
              <w:rPr>
                <w:rFonts w:cs="Arial"/>
                <w:b/>
                <w:sz w:val="20"/>
                <w:szCs w:val="20"/>
              </w:rPr>
            </w:pPr>
            <w:r w:rsidRPr="00947727">
              <w:rPr>
                <w:rFonts w:cs="Arial"/>
                <w:b/>
                <w:sz w:val="20"/>
                <w:szCs w:val="20"/>
              </w:rPr>
              <w:t>2</w:t>
            </w:r>
          </w:p>
        </w:tc>
        <w:tc>
          <w:tcPr>
            <w:tcW w:w="2779"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947727">
            <w:pPr>
              <w:rPr>
                <w:rFonts w:cs="Arial"/>
                <w:b/>
                <w:sz w:val="20"/>
                <w:szCs w:val="20"/>
              </w:rPr>
            </w:pPr>
            <w:r w:rsidRPr="00947727">
              <w:rPr>
                <w:rFonts w:cs="Arial"/>
                <w:b/>
                <w:sz w:val="20"/>
                <w:szCs w:val="20"/>
              </w:rPr>
              <w:t>3</w:t>
            </w:r>
          </w:p>
        </w:tc>
        <w:tc>
          <w:tcPr>
            <w:tcW w:w="1335" w:type="dxa"/>
            <w:tcBorders>
              <w:top w:val="single" w:sz="4" w:space="0" w:color="000000"/>
              <w:left w:val="single" w:sz="4" w:space="0" w:color="000000"/>
              <w:bottom w:val="single" w:sz="4" w:space="0" w:color="000000"/>
            </w:tcBorders>
            <w:shd w:val="clear" w:color="auto" w:fill="D9D9D9"/>
            <w:vAlign w:val="center"/>
          </w:tcPr>
          <w:p w:rsidR="00947727" w:rsidRPr="00947727" w:rsidRDefault="00947727" w:rsidP="00947727">
            <w:pPr>
              <w:rPr>
                <w:rFonts w:cs="Arial"/>
                <w:b/>
                <w:sz w:val="20"/>
                <w:szCs w:val="20"/>
              </w:rPr>
            </w:pPr>
            <w:r w:rsidRPr="00947727">
              <w:rPr>
                <w:rFonts w:cs="Arial"/>
                <w:b/>
                <w:sz w:val="20"/>
                <w:szCs w:val="20"/>
              </w:rPr>
              <w:t>4</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47727" w:rsidRPr="00947727" w:rsidRDefault="00947727" w:rsidP="00947727">
            <w:pPr>
              <w:rPr>
                <w:rFonts w:cs="Arial"/>
                <w:sz w:val="20"/>
                <w:szCs w:val="20"/>
              </w:rPr>
            </w:pPr>
            <w:r w:rsidRPr="00947727">
              <w:rPr>
                <w:rFonts w:cs="Arial"/>
                <w:b/>
                <w:sz w:val="20"/>
                <w:szCs w:val="20"/>
              </w:rPr>
              <w:t>5</w:t>
            </w:r>
          </w:p>
        </w:tc>
      </w:tr>
      <w:tr w:rsidR="00947727" w:rsidRPr="00232DB5" w:rsidTr="00947727">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Среднегодовой объем выполненных СМР,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shd w:val="clear" w:color="auto" w:fill="FFFF00"/>
              </w:rPr>
            </w:pPr>
            <w:r w:rsidRPr="00F767B0">
              <w:rPr>
                <w:rFonts w:cs="Arial"/>
                <w:sz w:val="20"/>
                <w:szCs w:val="20"/>
              </w:rPr>
              <w:t>Справка об опыте работы за 2014-2016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ind w:left="34"/>
              <w:jc w:val="both"/>
              <w:rPr>
                <w:rFonts w:cs="Arial"/>
                <w:sz w:val="20"/>
                <w:szCs w:val="20"/>
              </w:rPr>
            </w:pPr>
            <w:r>
              <w:rPr>
                <w:rFonts w:cs="Arial"/>
                <w:sz w:val="20"/>
                <w:szCs w:val="20"/>
              </w:rPr>
              <w:t>р</w:t>
            </w:r>
            <w:r w:rsidRPr="00947727">
              <w:rPr>
                <w:rFonts w:cs="Arial"/>
                <w:sz w:val="20"/>
                <w:szCs w:val="20"/>
              </w:rPr>
              <w:t>убль, без НДС</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46 000 000 </w:t>
            </w:r>
          </w:p>
          <w:p w:rsidR="00947727" w:rsidRPr="00947727" w:rsidRDefault="00947727" w:rsidP="003975BB">
            <w:pPr>
              <w:autoSpaceDE w:val="0"/>
              <w:jc w:val="both"/>
              <w:rPr>
                <w:rFonts w:cs="Arial"/>
                <w:sz w:val="20"/>
                <w:szCs w:val="20"/>
              </w:rPr>
            </w:pPr>
            <w:r w:rsidRPr="00947727">
              <w:rPr>
                <w:rFonts w:cs="Arial"/>
                <w:sz w:val="20"/>
                <w:szCs w:val="20"/>
              </w:rPr>
              <w:t>и более</w:t>
            </w:r>
          </w:p>
        </w:tc>
      </w:tr>
      <w:tr w:rsidR="00947727" w:rsidRPr="009571D3" w:rsidTr="00947727">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ind w:left="34"/>
              <w:jc w:val="both"/>
              <w:rPr>
                <w:rFonts w:cs="Arial"/>
                <w:sz w:val="20"/>
                <w:szCs w:val="20"/>
              </w:rPr>
            </w:pPr>
            <w:r w:rsidRPr="0094772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tabs>
                <w:tab w:val="left" w:pos="644"/>
              </w:tabs>
              <w:autoSpaceDE w:val="0"/>
              <w:ind w:left="34"/>
              <w:jc w:val="both"/>
              <w:rPr>
                <w:rFonts w:cs="Arial"/>
                <w:sz w:val="20"/>
                <w:szCs w:val="20"/>
              </w:rPr>
            </w:pPr>
            <w:r w:rsidRPr="00F767B0">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E02459">
            <w:pPr>
              <w:autoSpaceDE w:val="0"/>
              <w:jc w:val="both"/>
              <w:rPr>
                <w:rFonts w:cs="Arial"/>
                <w:sz w:val="20"/>
                <w:szCs w:val="20"/>
              </w:rPr>
            </w:pPr>
            <w:r w:rsidRPr="00947727">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Справка о наличии производственных мощностей (Форма 9).</w:t>
            </w:r>
          </w:p>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ind w:left="34"/>
              <w:jc w:val="both"/>
              <w:rPr>
                <w:rFonts w:eastAsia="Calibri" w:cs="Arial"/>
                <w:sz w:val="20"/>
                <w:szCs w:val="20"/>
              </w:rPr>
            </w:pPr>
            <w:r w:rsidRPr="00947727">
              <w:rPr>
                <w:rFonts w:cs="Arial"/>
                <w:sz w:val="20"/>
                <w:szCs w:val="20"/>
              </w:rPr>
              <w:t>Для обеспечения работ организация должна иметь:</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участок для выполнения работ по изготовлению и монтажу металлических конструкций, трубопроводов,</w:t>
            </w:r>
          </w:p>
        </w:tc>
        <w:tc>
          <w:tcPr>
            <w:tcW w:w="2779" w:type="dxa"/>
            <w:vMerge w:val="restart"/>
            <w:tcBorders>
              <w:top w:val="single" w:sz="4" w:space="0" w:color="000000"/>
              <w:left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4.2</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-участок по выполнению строительных работ, </w:t>
            </w:r>
          </w:p>
        </w:tc>
        <w:tc>
          <w:tcPr>
            <w:tcW w:w="2779" w:type="dxa"/>
            <w:vMerge/>
            <w:tcBorders>
              <w:left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4.3</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-производственно-технический отдел, </w:t>
            </w:r>
          </w:p>
        </w:tc>
        <w:tc>
          <w:tcPr>
            <w:tcW w:w="2779" w:type="dxa"/>
            <w:vMerge/>
            <w:tcBorders>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4.4</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-группу входного контроля закупаемого оборудования и материалов, </w:t>
            </w:r>
          </w:p>
        </w:tc>
        <w:tc>
          <w:tcPr>
            <w:tcW w:w="2779" w:type="dxa"/>
            <w:vMerge w:val="restart"/>
            <w:tcBorders>
              <w:top w:val="single" w:sz="4" w:space="0" w:color="000000"/>
              <w:left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 xml:space="preserve">Копия документа, подтверждающего наличие договорных отношений или собственность - группы </w:t>
            </w:r>
            <w:r w:rsidRPr="00F767B0">
              <w:rPr>
                <w:rFonts w:cs="Arial"/>
                <w:sz w:val="20"/>
                <w:szCs w:val="20"/>
              </w:rPr>
              <w:lastRenderedPageBreak/>
              <w:t>входного контроля оборудования и материалов и аттестованной контрольно-сварочной лаборатории.</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lastRenderedPageBreak/>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4.5</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наличие в собственности или в аренде аттестованной контрольно-</w:t>
            </w:r>
            <w:r w:rsidRPr="00947727">
              <w:rPr>
                <w:rFonts w:cs="Arial"/>
                <w:sz w:val="20"/>
                <w:szCs w:val="20"/>
              </w:rPr>
              <w:lastRenderedPageBreak/>
              <w:t>сварочной лаборатории по контролю металлов и сварки с возможностями по контролю сварных швов,</w:t>
            </w:r>
          </w:p>
        </w:tc>
        <w:tc>
          <w:tcPr>
            <w:tcW w:w="2779" w:type="dxa"/>
            <w:vMerge/>
            <w:tcBorders>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E02459"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0887"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4.6</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наличие Политики в области ПБ, ОТ и ОС</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Копия Политики в области ПБ, ОТ и ОС</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0887"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4.7</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наличие инструкций по профессиям и каждому виду выполняемых работ,</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Копия документов, подтверждающих наличие инструкций</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0887"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4.8</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е менее 1 инженера по ТБ на 50 работников подрядной организации, непосредст-вено выполняю-щих работы</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4.9</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-технику для уборки территории ремонтируемого объекта во время и после проведения работ.</w:t>
            </w:r>
          </w:p>
          <w:p w:rsidR="00947727" w:rsidRPr="00947727" w:rsidRDefault="00947727" w:rsidP="003975BB">
            <w:pPr>
              <w:autoSpaceDE w:val="0"/>
              <w:jc w:val="both"/>
              <w:rPr>
                <w:rFonts w:cs="Arial"/>
                <w:sz w:val="20"/>
                <w:szCs w:val="20"/>
              </w:rPr>
            </w:pP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ind w:left="34"/>
              <w:jc w:val="both"/>
              <w:rPr>
                <w:rFonts w:cs="Arial"/>
                <w:sz w:val="20"/>
                <w:szCs w:val="20"/>
              </w:rPr>
            </w:pPr>
            <w:r w:rsidRPr="00F767B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2 и более</w:t>
            </w: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Обученный и аттестованный персонал в области работ по ремонту объектов нефтепереработки:   </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p>
        </w:tc>
      </w:tr>
      <w:tr w:rsidR="00947727" w:rsidRPr="00A635B6"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947727" w:rsidRPr="00947727" w:rsidRDefault="00947727" w:rsidP="003975BB">
            <w:pPr>
              <w:autoSpaceDE w:val="0"/>
              <w:jc w:val="both"/>
              <w:rPr>
                <w:rFonts w:cs="Arial"/>
                <w:sz w:val="20"/>
                <w:szCs w:val="20"/>
              </w:rPr>
            </w:pPr>
            <w:r w:rsidRPr="00947727">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autoSpaceDE w:val="0"/>
              <w:jc w:val="both"/>
              <w:rPr>
                <w:rFonts w:cs="Arial"/>
                <w:sz w:val="20"/>
                <w:szCs w:val="20"/>
              </w:rPr>
            </w:pPr>
            <w:r w:rsidRPr="00F767B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green"/>
              </w:rPr>
            </w:pPr>
            <w:r w:rsidRPr="00947727">
              <w:rPr>
                <w:rFonts w:cs="Arial"/>
                <w:sz w:val="20"/>
                <w:szCs w:val="20"/>
              </w:rPr>
              <w:t>50 и более</w:t>
            </w:r>
          </w:p>
        </w:tc>
      </w:tr>
      <w:tr w:rsidR="00947727" w:rsidRPr="00097822"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5.2</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Наличие в организации аттестованных специалистов сварочного производства I уровня (сварщик)</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rPr>
                <w:rFonts w:cs="Arial"/>
                <w:sz w:val="20"/>
                <w:szCs w:val="20"/>
              </w:rPr>
            </w:pPr>
            <w:r w:rsidRPr="00F767B0">
              <w:rPr>
                <w:rFonts w:cs="Arial"/>
                <w:sz w:val="20"/>
                <w:szCs w:val="20"/>
              </w:rPr>
              <w:t xml:space="preserve">Копии отчетов о прохождении работниками аттестации и копии </w:t>
            </w:r>
            <w:r w:rsidRPr="00F767B0">
              <w:rPr>
                <w:rFonts w:cs="Arial"/>
                <w:sz w:val="20"/>
                <w:szCs w:val="20"/>
              </w:rPr>
              <w:lastRenderedPageBreak/>
              <w:t>аттестационных удостоверений сварщиков</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lastRenderedPageBreak/>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green"/>
              </w:rPr>
            </w:pPr>
            <w:r w:rsidRPr="00947727">
              <w:rPr>
                <w:rFonts w:cs="Arial"/>
                <w:sz w:val="20"/>
                <w:szCs w:val="20"/>
              </w:rPr>
              <w:t>10 и более</w:t>
            </w:r>
          </w:p>
        </w:tc>
      </w:tr>
      <w:tr w:rsidR="00947727" w:rsidRPr="00890F15"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5.3</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rPr>
                <w:rFonts w:cs="Arial"/>
                <w:sz w:val="20"/>
                <w:szCs w:val="20"/>
              </w:rPr>
            </w:pPr>
            <w:r w:rsidRPr="00F767B0">
              <w:rPr>
                <w:rFonts w:cs="Arial"/>
                <w:sz w:val="20"/>
                <w:szCs w:val="20"/>
              </w:rPr>
              <w:t xml:space="preserve">Копии отчетов о прохождении работниками аттестации </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2 и более</w:t>
            </w:r>
          </w:p>
        </w:tc>
      </w:tr>
      <w:tr w:rsidR="00947727" w:rsidRPr="00890F15"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5.4</w:t>
            </w:r>
          </w:p>
        </w:tc>
        <w:tc>
          <w:tcPr>
            <w:tcW w:w="3901" w:type="dxa"/>
            <w:tcBorders>
              <w:top w:val="single" w:sz="4" w:space="0" w:color="000000"/>
              <w:left w:val="single" w:sz="4" w:space="0" w:color="000000"/>
              <w:bottom w:val="single" w:sz="4" w:space="0" w:color="000000"/>
            </w:tcBorders>
            <w:shd w:val="clear" w:color="auto" w:fill="auto"/>
          </w:tcPr>
          <w:p w:rsidR="00947727" w:rsidRPr="00947727" w:rsidRDefault="00947727" w:rsidP="003975BB">
            <w:pPr>
              <w:jc w:val="both"/>
              <w:rPr>
                <w:rFonts w:cs="Arial"/>
                <w:color w:val="0070C0"/>
                <w:sz w:val="20"/>
                <w:szCs w:val="20"/>
              </w:rPr>
            </w:pPr>
            <w:r w:rsidRPr="00947727">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категориий А</w:t>
            </w:r>
            <w:r w:rsidRPr="00947727">
              <w:rPr>
                <w:rFonts w:cs="Arial"/>
                <w:sz w:val="20"/>
                <w:szCs w:val="20"/>
                <w:vertAlign w:val="subscript"/>
              </w:rPr>
              <w:t>1</w:t>
            </w:r>
            <w:r w:rsidRPr="00947727">
              <w:rPr>
                <w:rFonts w:cs="Arial"/>
                <w:sz w:val="20"/>
                <w:szCs w:val="20"/>
              </w:rPr>
              <w:t>, Б</w:t>
            </w:r>
            <w:r w:rsidRPr="00947727">
              <w:rPr>
                <w:rFonts w:cs="Arial"/>
                <w:sz w:val="20"/>
                <w:szCs w:val="20"/>
                <w:vertAlign w:val="subscript"/>
              </w:rPr>
              <w:t>1.17.</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E02459">
            <w:pPr>
              <w:jc w:val="both"/>
              <w:rPr>
                <w:rFonts w:cs="Arial"/>
                <w:sz w:val="20"/>
                <w:szCs w:val="20"/>
              </w:rPr>
            </w:pPr>
            <w:r w:rsidRPr="00F767B0">
              <w:rPr>
                <w:rFonts w:cs="Arial"/>
                <w:sz w:val="20"/>
                <w:szCs w:val="20"/>
              </w:rPr>
              <w:t>Копии свидетельств и протоколов комиссий об аттестации</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3 и более</w:t>
            </w:r>
          </w:p>
        </w:tc>
      </w:tr>
      <w:tr w:rsidR="00947727" w:rsidRPr="00E27382"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5.5</w:t>
            </w:r>
          </w:p>
        </w:tc>
        <w:tc>
          <w:tcPr>
            <w:tcW w:w="3901" w:type="dxa"/>
            <w:tcBorders>
              <w:top w:val="single" w:sz="4" w:space="0" w:color="000000"/>
              <w:left w:val="single" w:sz="4" w:space="0" w:color="000000"/>
              <w:bottom w:val="single" w:sz="4" w:space="0" w:color="000000"/>
            </w:tcBorders>
            <w:shd w:val="clear" w:color="auto" w:fill="auto"/>
          </w:tcPr>
          <w:p w:rsidR="00947727" w:rsidRPr="00947727" w:rsidRDefault="00947727" w:rsidP="003975BB">
            <w:pPr>
              <w:jc w:val="both"/>
              <w:rPr>
                <w:rFonts w:cs="Arial"/>
                <w:sz w:val="20"/>
                <w:szCs w:val="20"/>
              </w:rPr>
            </w:pPr>
            <w:r w:rsidRPr="00947727">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779" w:type="dxa"/>
            <w:tcBorders>
              <w:top w:val="single" w:sz="4" w:space="0" w:color="000000"/>
              <w:left w:val="single" w:sz="4" w:space="0" w:color="000000"/>
              <w:bottom w:val="single" w:sz="4" w:space="0" w:color="000000"/>
            </w:tcBorders>
            <w:shd w:val="clear" w:color="auto" w:fill="auto"/>
          </w:tcPr>
          <w:p w:rsidR="00947727" w:rsidRPr="00F767B0" w:rsidRDefault="00947727" w:rsidP="003975BB">
            <w:pPr>
              <w:rPr>
                <w:rFonts w:cs="Arial"/>
                <w:sz w:val="20"/>
                <w:szCs w:val="20"/>
              </w:rPr>
            </w:pPr>
            <w:r w:rsidRPr="00F767B0">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E27382"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5.6</w:t>
            </w:r>
          </w:p>
        </w:tc>
        <w:tc>
          <w:tcPr>
            <w:tcW w:w="3901" w:type="dxa"/>
            <w:tcBorders>
              <w:top w:val="single" w:sz="4" w:space="0" w:color="000000"/>
              <w:left w:val="single" w:sz="4" w:space="0" w:color="000000"/>
              <w:bottom w:val="single" w:sz="4" w:space="0" w:color="000000"/>
            </w:tcBorders>
            <w:shd w:val="clear" w:color="auto" w:fill="auto"/>
          </w:tcPr>
          <w:p w:rsidR="00947727" w:rsidRPr="00947727" w:rsidRDefault="00947727" w:rsidP="003975BB">
            <w:pPr>
              <w:jc w:val="both"/>
              <w:rPr>
                <w:rFonts w:cs="Arial"/>
                <w:sz w:val="20"/>
                <w:szCs w:val="20"/>
              </w:rPr>
            </w:pPr>
            <w:r w:rsidRPr="00947727">
              <w:rPr>
                <w:rFonts w:cs="Arial"/>
                <w:sz w:val="20"/>
                <w:szCs w:val="20"/>
              </w:rPr>
              <w:t>Организация и проведение медицинских осмотров привлекаемого персонала.</w:t>
            </w:r>
          </w:p>
        </w:tc>
        <w:tc>
          <w:tcPr>
            <w:tcW w:w="2779" w:type="dxa"/>
            <w:tcBorders>
              <w:top w:val="single" w:sz="4" w:space="0" w:color="000000"/>
              <w:left w:val="single" w:sz="4" w:space="0" w:color="000000"/>
              <w:bottom w:val="single" w:sz="4" w:space="0" w:color="000000"/>
            </w:tcBorders>
            <w:shd w:val="clear" w:color="auto" w:fill="auto"/>
          </w:tcPr>
          <w:p w:rsidR="00947727" w:rsidRPr="00F767B0" w:rsidRDefault="00947727" w:rsidP="003975BB">
            <w:pPr>
              <w:rPr>
                <w:rFonts w:cs="Arial"/>
                <w:sz w:val="20"/>
                <w:szCs w:val="20"/>
              </w:rPr>
            </w:pPr>
            <w:r w:rsidRPr="00F767B0">
              <w:rPr>
                <w:rFonts w:cs="Arial"/>
                <w:sz w:val="20"/>
                <w:szCs w:val="20"/>
              </w:rPr>
              <w:t>Копии документов, подтверждающих наличие договорных отношений, графиков, перечней и заключительных актов</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E27382"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5.7</w:t>
            </w:r>
          </w:p>
        </w:tc>
        <w:tc>
          <w:tcPr>
            <w:tcW w:w="3901" w:type="dxa"/>
            <w:tcBorders>
              <w:top w:val="single" w:sz="4" w:space="0" w:color="000000"/>
              <w:left w:val="single" w:sz="4" w:space="0" w:color="000000"/>
              <w:bottom w:val="single" w:sz="4" w:space="0" w:color="000000"/>
            </w:tcBorders>
            <w:shd w:val="clear" w:color="auto" w:fill="auto"/>
          </w:tcPr>
          <w:p w:rsidR="00947727" w:rsidRPr="00947727" w:rsidRDefault="00947727" w:rsidP="003975BB">
            <w:pPr>
              <w:jc w:val="both"/>
              <w:rPr>
                <w:rFonts w:cs="Arial"/>
                <w:sz w:val="20"/>
                <w:szCs w:val="20"/>
              </w:rPr>
            </w:pPr>
            <w:r w:rsidRPr="00947727">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779" w:type="dxa"/>
            <w:tcBorders>
              <w:top w:val="single" w:sz="4" w:space="0" w:color="000000"/>
              <w:left w:val="single" w:sz="4" w:space="0" w:color="000000"/>
              <w:bottom w:val="single" w:sz="4" w:space="0" w:color="000000"/>
            </w:tcBorders>
            <w:shd w:val="clear" w:color="auto" w:fill="auto"/>
          </w:tcPr>
          <w:p w:rsidR="00947727" w:rsidRPr="00F767B0" w:rsidRDefault="00947727" w:rsidP="003975BB">
            <w:pPr>
              <w:rPr>
                <w:rFonts w:cs="Arial"/>
                <w:sz w:val="20"/>
                <w:szCs w:val="20"/>
              </w:rPr>
            </w:pPr>
            <w:r w:rsidRPr="00F767B0">
              <w:rPr>
                <w:rFonts w:cs="Arial"/>
                <w:sz w:val="20"/>
                <w:szCs w:val="20"/>
              </w:rPr>
              <w:t>Копии документов, подтверждающих проведение проверок, их графиков,  актов по итогам проверок.</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E77012"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eastAsia="Calibri" w:cs="Arial"/>
                <w:sz w:val="20"/>
                <w:szCs w:val="20"/>
              </w:rPr>
            </w:pPr>
            <w:r w:rsidRPr="00947727">
              <w:rPr>
                <w:rFonts w:cs="Arial"/>
                <w:sz w:val="20"/>
                <w:szCs w:val="20"/>
              </w:rPr>
              <w:t>Требования по сварочным работам:</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p>
        </w:tc>
      </w:tr>
      <w:tr w:rsidR="00947727" w:rsidRPr="009571D3"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М09) – сталь 20, сталь 15Х5М),</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3975BB">
            <w:pPr>
              <w:jc w:val="both"/>
              <w:rPr>
                <w:rFonts w:cs="Arial"/>
                <w:sz w:val="20"/>
                <w:szCs w:val="20"/>
              </w:rPr>
            </w:pPr>
            <w:r w:rsidRPr="00F767B0">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890F1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6.2</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79" w:type="dxa"/>
            <w:tcBorders>
              <w:top w:val="single" w:sz="4" w:space="0" w:color="000000"/>
              <w:left w:val="single" w:sz="4" w:space="0" w:color="000000"/>
              <w:bottom w:val="single" w:sz="4" w:space="0" w:color="auto"/>
            </w:tcBorders>
            <w:shd w:val="clear" w:color="auto" w:fill="auto"/>
            <w:vAlign w:val="center"/>
          </w:tcPr>
          <w:p w:rsidR="00947727" w:rsidRPr="00F767B0" w:rsidRDefault="00947727" w:rsidP="003975BB">
            <w:pPr>
              <w:jc w:val="both"/>
              <w:rPr>
                <w:rFonts w:cs="Arial"/>
                <w:sz w:val="20"/>
                <w:szCs w:val="20"/>
              </w:rPr>
            </w:pPr>
            <w:r w:rsidRPr="00F767B0">
              <w:rPr>
                <w:rFonts w:cs="Arial"/>
                <w:sz w:val="20"/>
                <w:szCs w:val="20"/>
              </w:rPr>
              <w:t>Копии Свидетельств об аттестации сварочного оборудования.    Справка о наличии производственных мощностей (Форма 9).</w:t>
            </w:r>
          </w:p>
          <w:p w:rsidR="00947727" w:rsidRPr="00F767B0" w:rsidRDefault="00947727" w:rsidP="003975BB">
            <w:pPr>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xml:space="preserve"> 5 и более</w:t>
            </w:r>
          </w:p>
        </w:tc>
      </w:tr>
      <w:tr w:rsidR="00947727" w:rsidRPr="00890F1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6.3</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Наличие в собственности или в аренде  исправных термопеналов</w:t>
            </w:r>
          </w:p>
        </w:tc>
        <w:tc>
          <w:tcPr>
            <w:tcW w:w="2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47727" w:rsidRPr="00F767B0" w:rsidRDefault="00947727" w:rsidP="003975BB">
            <w:pPr>
              <w:jc w:val="both"/>
              <w:rPr>
                <w:rFonts w:cs="Arial"/>
                <w:sz w:val="20"/>
                <w:szCs w:val="20"/>
              </w:rPr>
            </w:pPr>
            <w:r w:rsidRPr="00F767B0">
              <w:rPr>
                <w:rFonts w:cs="Arial"/>
                <w:sz w:val="20"/>
                <w:szCs w:val="20"/>
              </w:rPr>
              <w:t>Справка о наличии производственных мощностей (Форма 9).</w:t>
            </w:r>
          </w:p>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xml:space="preserve"> 2 и более</w:t>
            </w:r>
          </w:p>
        </w:tc>
      </w:tr>
      <w:tr w:rsidR="00947727" w:rsidRPr="00890F1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6.4</w:t>
            </w:r>
          </w:p>
        </w:tc>
        <w:tc>
          <w:tcPr>
            <w:tcW w:w="3901" w:type="dxa"/>
            <w:tcBorders>
              <w:top w:val="single" w:sz="4" w:space="0" w:color="000000"/>
              <w:left w:val="single" w:sz="4" w:space="0" w:color="000000"/>
              <w:bottom w:val="single" w:sz="4" w:space="0" w:color="auto"/>
              <w:right w:val="single" w:sz="4" w:space="0" w:color="auto"/>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Наличие в собственности или в аренде  у организации  печей для прокаливания электродов.</w:t>
            </w:r>
          </w:p>
        </w:tc>
        <w:tc>
          <w:tcPr>
            <w:tcW w:w="2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 xml:space="preserve"> 1 и более</w:t>
            </w:r>
          </w:p>
        </w:tc>
      </w:tr>
      <w:tr w:rsidR="00947727" w:rsidRPr="00890F15" w:rsidTr="006C5714">
        <w:trPr>
          <w:trHeight w:val="196"/>
        </w:trPr>
        <w:tc>
          <w:tcPr>
            <w:tcW w:w="660"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sz w:val="20"/>
                <w:szCs w:val="20"/>
              </w:rPr>
            </w:pPr>
            <w:r w:rsidRPr="00947727">
              <w:rPr>
                <w:sz w:val="20"/>
                <w:szCs w:val="20"/>
              </w:rPr>
              <w:lastRenderedPageBreak/>
              <w:t>6.5</w:t>
            </w:r>
          </w:p>
        </w:tc>
        <w:tc>
          <w:tcPr>
            <w:tcW w:w="3901" w:type="dxa"/>
            <w:tcBorders>
              <w:top w:val="single" w:sz="4" w:space="0" w:color="auto"/>
              <w:left w:val="single" w:sz="4" w:space="0" w:color="auto"/>
              <w:bottom w:val="single" w:sz="4" w:space="0" w:color="auto"/>
              <w:right w:val="single" w:sz="4" w:space="0" w:color="auto"/>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Наличие в собственности или аренде термопостов для термообработки сварных швов,</w:t>
            </w:r>
          </w:p>
        </w:tc>
        <w:tc>
          <w:tcPr>
            <w:tcW w:w="2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1 и более</w:t>
            </w:r>
          </w:p>
        </w:tc>
      </w:tr>
      <w:tr w:rsidR="00947727" w:rsidRPr="00890F1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6.6</w:t>
            </w:r>
          </w:p>
        </w:tc>
        <w:tc>
          <w:tcPr>
            <w:tcW w:w="3901" w:type="dxa"/>
            <w:tcBorders>
              <w:top w:val="single" w:sz="4" w:space="0" w:color="auto"/>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autoSpaceDE w:val="0"/>
              <w:jc w:val="both"/>
              <w:rPr>
                <w:rFonts w:cs="Arial"/>
                <w:sz w:val="20"/>
                <w:szCs w:val="20"/>
              </w:rPr>
            </w:pPr>
            <w:r w:rsidRPr="00947727">
              <w:rPr>
                <w:rFonts w:cs="Arial"/>
                <w:sz w:val="20"/>
                <w:szCs w:val="20"/>
              </w:rPr>
              <w:t xml:space="preserve">Наличие в собственности исправного контрольно-измерительного и ручного рабочего инструмента. </w:t>
            </w:r>
          </w:p>
        </w:tc>
        <w:tc>
          <w:tcPr>
            <w:tcW w:w="2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47727" w:rsidRPr="00F767B0" w:rsidRDefault="00947727" w:rsidP="003975BB">
            <w:pPr>
              <w:autoSpaceDE w:val="0"/>
              <w:ind w:left="34"/>
              <w:jc w:val="both"/>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highlight w:val="yellow"/>
              </w:rPr>
            </w:pPr>
            <w:r w:rsidRPr="00947727">
              <w:rPr>
                <w:rFonts w:cs="Arial"/>
                <w:sz w:val="20"/>
                <w:szCs w:val="20"/>
              </w:rPr>
              <w:t>7 и более</w:t>
            </w:r>
          </w:p>
        </w:tc>
      </w:tr>
      <w:tr w:rsidR="00947727" w:rsidRPr="00890F1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eastAsia="Calibri" w:cs="Arial"/>
                <w:sz w:val="20"/>
                <w:szCs w:val="20"/>
              </w:rPr>
            </w:pPr>
            <w:r w:rsidRPr="00947727">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79" w:type="dxa"/>
            <w:tcBorders>
              <w:top w:val="single" w:sz="4" w:space="0" w:color="auto"/>
              <w:left w:val="single" w:sz="4" w:space="0" w:color="000000"/>
              <w:bottom w:val="single" w:sz="4" w:space="0" w:color="000000"/>
            </w:tcBorders>
            <w:shd w:val="clear" w:color="auto" w:fill="auto"/>
            <w:vAlign w:val="center"/>
          </w:tcPr>
          <w:p w:rsidR="00947727" w:rsidRPr="00F767B0" w:rsidRDefault="00947727" w:rsidP="003975BB">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p>
        </w:tc>
      </w:tr>
      <w:tr w:rsidR="00947727" w:rsidRPr="00656568" w:rsidTr="00F767B0">
        <w:trPr>
          <w:trHeight w:val="1050"/>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грузовой транспортной техники для перевозки оборудования, запчастей,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947727" w:rsidRPr="00F767B0" w:rsidRDefault="00947727" w:rsidP="00F767B0">
            <w:pPr>
              <w:rPr>
                <w:rFonts w:cs="Arial"/>
                <w:sz w:val="20"/>
                <w:szCs w:val="20"/>
              </w:rPr>
            </w:pPr>
            <w:r w:rsidRPr="00F767B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е</w:t>
            </w:r>
            <w:r w:rsidR="00947727" w:rsidRPr="00947727">
              <w:rPr>
                <w:rFonts w:cs="Arial"/>
                <w:sz w:val="20"/>
                <w:szCs w:val="20"/>
              </w:rPr>
              <w:t>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5 и более</w:t>
            </w:r>
          </w:p>
        </w:tc>
      </w:tr>
      <w:tr w:rsidR="00947727" w:rsidRPr="009571D3" w:rsidTr="00947727">
        <w:trPr>
          <w:trHeight w:val="253"/>
        </w:trPr>
        <w:tc>
          <w:tcPr>
            <w:tcW w:w="660" w:type="dxa"/>
            <w:vMerge w:val="restart"/>
            <w:tcBorders>
              <w:top w:val="single" w:sz="4" w:space="0" w:color="000000"/>
              <w:left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7.2</w:t>
            </w:r>
          </w:p>
        </w:tc>
        <w:tc>
          <w:tcPr>
            <w:tcW w:w="3901" w:type="dxa"/>
            <w:vMerge w:val="restart"/>
            <w:tcBorders>
              <w:top w:val="single" w:sz="4" w:space="0" w:color="000000"/>
              <w:left w:val="single" w:sz="4" w:space="0" w:color="000000"/>
            </w:tcBorders>
            <w:shd w:val="clear" w:color="auto" w:fill="auto"/>
            <w:vAlign w:val="center"/>
          </w:tcPr>
          <w:p w:rsidR="00947727" w:rsidRPr="00947727" w:rsidRDefault="00947727" w:rsidP="003975BB">
            <w:pPr>
              <w:jc w:val="both"/>
              <w:rPr>
                <w:rFonts w:cs="Arial"/>
                <w:sz w:val="20"/>
                <w:szCs w:val="20"/>
              </w:rPr>
            </w:pPr>
            <w:r w:rsidRPr="00947727">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779" w:type="dxa"/>
            <w:vMerge w:val="restart"/>
            <w:tcBorders>
              <w:top w:val="single" w:sz="4" w:space="0" w:color="000000"/>
              <w:left w:val="single" w:sz="4" w:space="0" w:color="000000"/>
            </w:tcBorders>
            <w:shd w:val="clear" w:color="auto" w:fill="auto"/>
            <w:vAlign w:val="center"/>
          </w:tcPr>
          <w:p w:rsidR="00947727" w:rsidRPr="00F767B0" w:rsidRDefault="00947727" w:rsidP="003975BB">
            <w:pPr>
              <w:rPr>
                <w:rFonts w:cs="Arial"/>
                <w:sz w:val="20"/>
                <w:szCs w:val="20"/>
              </w:rPr>
            </w:pPr>
            <w:r w:rsidRPr="00F767B0">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335" w:type="dxa"/>
            <w:vMerge w:val="restart"/>
            <w:tcBorders>
              <w:top w:val="single" w:sz="4" w:space="0" w:color="000000"/>
              <w:left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vMerge w:val="restart"/>
            <w:tcBorders>
              <w:top w:val="single" w:sz="4" w:space="0" w:color="000000"/>
              <w:left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9571D3" w:rsidTr="00947727">
        <w:trPr>
          <w:trHeight w:val="373"/>
        </w:trPr>
        <w:tc>
          <w:tcPr>
            <w:tcW w:w="660" w:type="dxa"/>
            <w:vMerge/>
            <w:tcBorders>
              <w:left w:val="single" w:sz="4" w:space="0" w:color="000000"/>
              <w:bottom w:val="single" w:sz="4" w:space="0" w:color="000000"/>
            </w:tcBorders>
            <w:shd w:val="clear" w:color="auto" w:fill="auto"/>
            <w:vAlign w:val="center"/>
          </w:tcPr>
          <w:p w:rsidR="00947727" w:rsidRPr="00947727" w:rsidRDefault="00947727" w:rsidP="003975BB">
            <w:pPr>
              <w:rPr>
                <w:sz w:val="20"/>
                <w:szCs w:val="20"/>
              </w:rPr>
            </w:pPr>
          </w:p>
        </w:tc>
        <w:tc>
          <w:tcPr>
            <w:tcW w:w="3901" w:type="dxa"/>
            <w:vMerge/>
            <w:tcBorders>
              <w:left w:val="single" w:sz="4" w:space="0" w:color="000000"/>
              <w:bottom w:val="single" w:sz="4" w:space="0" w:color="000000"/>
            </w:tcBorders>
            <w:shd w:val="clear" w:color="auto" w:fill="auto"/>
            <w:vAlign w:val="center"/>
          </w:tcPr>
          <w:p w:rsidR="00947727" w:rsidRPr="00947727" w:rsidRDefault="00947727" w:rsidP="003975BB">
            <w:pPr>
              <w:jc w:val="both"/>
              <w:rPr>
                <w:rFonts w:cs="Arial"/>
                <w:sz w:val="20"/>
                <w:szCs w:val="20"/>
              </w:rPr>
            </w:pPr>
          </w:p>
        </w:tc>
        <w:tc>
          <w:tcPr>
            <w:tcW w:w="2779" w:type="dxa"/>
            <w:vMerge/>
            <w:tcBorders>
              <w:left w:val="single" w:sz="4" w:space="0" w:color="000000"/>
              <w:bottom w:val="single" w:sz="4" w:space="0" w:color="auto"/>
            </w:tcBorders>
            <w:shd w:val="clear" w:color="auto" w:fill="auto"/>
            <w:vAlign w:val="center"/>
          </w:tcPr>
          <w:p w:rsidR="00947727" w:rsidRPr="00F767B0" w:rsidRDefault="00947727" w:rsidP="003975BB">
            <w:pPr>
              <w:rPr>
                <w:rFonts w:cs="Arial"/>
                <w:sz w:val="20"/>
                <w:szCs w:val="20"/>
              </w:rPr>
            </w:pPr>
          </w:p>
        </w:tc>
        <w:tc>
          <w:tcPr>
            <w:tcW w:w="1335" w:type="dxa"/>
            <w:vMerge/>
            <w:tcBorders>
              <w:left w:val="single" w:sz="4" w:space="0" w:color="000000"/>
              <w:bottom w:val="single" w:sz="4" w:space="0" w:color="000000"/>
            </w:tcBorders>
            <w:shd w:val="clear" w:color="auto" w:fill="auto"/>
          </w:tcPr>
          <w:p w:rsidR="00947727" w:rsidRPr="00947727" w:rsidRDefault="00947727" w:rsidP="003975BB">
            <w:pPr>
              <w:rPr>
                <w:rFonts w:cs="Arial"/>
                <w:sz w:val="20"/>
                <w:szCs w:val="20"/>
              </w:rPr>
            </w:pPr>
          </w:p>
        </w:tc>
        <w:tc>
          <w:tcPr>
            <w:tcW w:w="1642" w:type="dxa"/>
            <w:vMerge/>
            <w:tcBorders>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p>
        </w:tc>
      </w:tr>
      <w:tr w:rsidR="00947727" w:rsidRPr="009571D3" w:rsidTr="006C5714">
        <w:trPr>
          <w:trHeight w:val="913"/>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7.3</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оснащение ремнями безопасности транспортных средств (где это предусмотрено конструкцией ТС),</w:t>
            </w:r>
          </w:p>
        </w:tc>
        <w:tc>
          <w:tcPr>
            <w:tcW w:w="2779" w:type="dxa"/>
            <w:tcBorders>
              <w:top w:val="single" w:sz="4" w:space="0" w:color="auto"/>
              <w:left w:val="single" w:sz="4" w:space="0" w:color="000000"/>
              <w:bottom w:val="single" w:sz="4" w:space="0" w:color="auto"/>
            </w:tcBorders>
            <w:shd w:val="clear" w:color="auto" w:fill="auto"/>
            <w:vAlign w:val="center"/>
          </w:tcPr>
          <w:p w:rsidR="00947727" w:rsidRPr="00F767B0" w:rsidRDefault="00947727" w:rsidP="006C5714">
            <w:pPr>
              <w:rPr>
                <w:rFonts w:cs="Arial"/>
                <w:sz w:val="20"/>
                <w:szCs w:val="20"/>
              </w:rPr>
            </w:pPr>
            <w:r w:rsidRPr="00F767B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tcPr>
          <w:p w:rsidR="00947727" w:rsidRPr="00947727" w:rsidRDefault="006C5714" w:rsidP="003975BB">
            <w:pPr>
              <w:rPr>
                <w:rFonts w:cs="Arial"/>
                <w:sz w:val="20"/>
                <w:szCs w:val="20"/>
              </w:rPr>
            </w:pPr>
            <w:r>
              <w:rPr>
                <w:rFonts w:cs="Arial"/>
                <w:sz w:val="20"/>
                <w:szCs w:val="20"/>
              </w:rPr>
              <w:t>н</w:t>
            </w:r>
            <w:r w:rsidR="00947727" w:rsidRPr="00947727">
              <w:rPr>
                <w:rFonts w:cs="Arial"/>
                <w:sz w:val="20"/>
                <w:szCs w:val="20"/>
              </w:rPr>
              <w:t>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47727" w:rsidRPr="00947727" w:rsidRDefault="00947727" w:rsidP="003975BB">
            <w:pPr>
              <w:rPr>
                <w:rFonts w:cs="Arial"/>
                <w:sz w:val="20"/>
                <w:szCs w:val="20"/>
              </w:rPr>
            </w:pPr>
            <w:r w:rsidRPr="00947727">
              <w:rPr>
                <w:rFonts w:cs="Arial"/>
                <w:sz w:val="20"/>
                <w:szCs w:val="20"/>
              </w:rPr>
              <w:t>наличие</w:t>
            </w:r>
          </w:p>
        </w:tc>
      </w:tr>
      <w:tr w:rsidR="00947727" w:rsidRPr="00656568"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7.4</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передвижных компрессоров,</w:t>
            </w:r>
          </w:p>
        </w:tc>
        <w:tc>
          <w:tcPr>
            <w:tcW w:w="2779" w:type="dxa"/>
            <w:tcBorders>
              <w:top w:val="single" w:sz="4" w:space="0" w:color="auto"/>
              <w:left w:val="single" w:sz="4" w:space="0" w:color="000000"/>
              <w:bottom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е</w:t>
            </w:r>
            <w:r w:rsidR="00947727" w:rsidRPr="00947727">
              <w:rPr>
                <w:rFonts w:cs="Arial"/>
                <w:sz w:val="20"/>
                <w:szCs w:val="20"/>
              </w:rPr>
              <w:t>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3 и более</w:t>
            </w:r>
          </w:p>
        </w:tc>
      </w:tr>
      <w:tr w:rsidR="00947727"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7.5</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779" w:type="dxa"/>
            <w:vMerge w:val="restart"/>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p w:rsidR="00947727" w:rsidRPr="00F767B0" w:rsidRDefault="00947727" w:rsidP="003975BB">
            <w:pPr>
              <w:rPr>
                <w:rFonts w:cs="Arial"/>
                <w:sz w:val="20"/>
                <w:szCs w:val="20"/>
              </w:rPr>
            </w:pPr>
            <w:r w:rsidRPr="00F767B0">
              <w:rPr>
                <w:rFonts w:cs="Arial"/>
                <w:sz w:val="20"/>
                <w:szCs w:val="20"/>
              </w:rPr>
              <w:t>Справка о наличии производственных мощностей (Форма 9).</w:t>
            </w: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к</w:t>
            </w:r>
            <w:r w:rsidR="00947727" w:rsidRPr="00947727">
              <w:rPr>
                <w:rFonts w:cs="Arial"/>
                <w:sz w:val="20"/>
                <w:szCs w:val="20"/>
              </w:rPr>
              <w:t>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20 и более</w:t>
            </w:r>
          </w:p>
        </w:tc>
      </w:tr>
      <w:tr w:rsidR="00947727" w:rsidRPr="00232DB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7.6</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779" w:type="dxa"/>
            <w:vMerge/>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к</w:t>
            </w:r>
            <w:r w:rsidR="00947727" w:rsidRPr="00947727">
              <w:rPr>
                <w:rFonts w:cs="Arial"/>
                <w:sz w:val="20"/>
                <w:szCs w:val="20"/>
              </w:rPr>
              <w:t>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1 и более</w:t>
            </w:r>
          </w:p>
        </w:tc>
      </w:tr>
      <w:tr w:rsidR="00947727" w:rsidRPr="00232DB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7.7</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779" w:type="dxa"/>
            <w:vMerge/>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к</w:t>
            </w:r>
            <w:r w:rsidR="00947727" w:rsidRPr="00947727">
              <w:rPr>
                <w:rFonts w:cs="Arial"/>
                <w:sz w:val="20"/>
                <w:szCs w:val="20"/>
              </w:rPr>
              <w:t>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1 и более</w:t>
            </w:r>
          </w:p>
        </w:tc>
      </w:tr>
      <w:tr w:rsidR="00947727" w:rsidRPr="00232DB5"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7.8</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779" w:type="dxa"/>
            <w:vMerge/>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к</w:t>
            </w:r>
            <w:r w:rsidR="00947727" w:rsidRPr="00947727">
              <w:rPr>
                <w:rFonts w:cs="Arial"/>
                <w:sz w:val="20"/>
                <w:szCs w:val="20"/>
              </w:rPr>
              <w:t>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3 и более</w:t>
            </w:r>
          </w:p>
        </w:tc>
      </w:tr>
      <w:tr w:rsidR="00947727" w:rsidTr="006C5714">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7.9</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исправных лебедок и талей,</w:t>
            </w:r>
          </w:p>
        </w:tc>
        <w:tc>
          <w:tcPr>
            <w:tcW w:w="2779" w:type="dxa"/>
            <w:vMerge/>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ш</w:t>
            </w:r>
            <w:r w:rsidR="00947727" w:rsidRPr="00947727">
              <w:rPr>
                <w:rFonts w:cs="Arial"/>
                <w:sz w:val="20"/>
                <w:szCs w:val="20"/>
              </w:rPr>
              <w:t>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5 и более</w:t>
            </w:r>
          </w:p>
        </w:tc>
      </w:tr>
      <w:tr w:rsidR="00947727" w:rsidTr="006C5714">
        <w:trPr>
          <w:trHeight w:val="358"/>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7.10</w:t>
            </w:r>
          </w:p>
        </w:tc>
        <w:tc>
          <w:tcPr>
            <w:tcW w:w="3901" w:type="dxa"/>
            <w:tcBorders>
              <w:top w:val="single" w:sz="4" w:space="0" w:color="000000"/>
              <w:left w:val="single" w:sz="4" w:space="0" w:color="000000"/>
              <w:bottom w:val="single" w:sz="4" w:space="0" w:color="000000"/>
              <w:right w:val="single" w:sz="4" w:space="0" w:color="auto"/>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исправных реечных домкратов</w:t>
            </w:r>
          </w:p>
        </w:tc>
        <w:tc>
          <w:tcPr>
            <w:tcW w:w="2779" w:type="dxa"/>
            <w:vMerge/>
            <w:tcBorders>
              <w:top w:val="single" w:sz="4" w:space="0" w:color="auto"/>
              <w:left w:val="single" w:sz="4" w:space="0" w:color="auto"/>
              <w:bottom w:val="single" w:sz="4" w:space="0" w:color="auto"/>
              <w:right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auto"/>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ш</w:t>
            </w:r>
            <w:r w:rsidR="00947727" w:rsidRPr="00947727">
              <w:rPr>
                <w:rFonts w:cs="Arial"/>
                <w:sz w:val="20"/>
                <w:szCs w:val="20"/>
              </w:rPr>
              <w:t>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5 и более</w:t>
            </w:r>
          </w:p>
        </w:tc>
      </w:tr>
      <w:tr w:rsidR="00947727" w:rsidRPr="00656568" w:rsidTr="006C5714">
        <w:trPr>
          <w:trHeight w:val="589"/>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7.11</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6C5714">
            <w:pPr>
              <w:rPr>
                <w:rFonts w:cs="Arial"/>
                <w:sz w:val="20"/>
                <w:szCs w:val="20"/>
              </w:rPr>
            </w:pPr>
            <w:r w:rsidRPr="00947727">
              <w:rPr>
                <w:rFonts w:cs="Arial"/>
                <w:sz w:val="20"/>
                <w:szCs w:val="20"/>
              </w:rPr>
              <w:t xml:space="preserve">- наличие автовышки для производства работ, </w:t>
            </w:r>
          </w:p>
        </w:tc>
        <w:tc>
          <w:tcPr>
            <w:tcW w:w="2779" w:type="dxa"/>
            <w:vMerge w:val="restart"/>
            <w:tcBorders>
              <w:top w:val="single" w:sz="4" w:space="0" w:color="auto"/>
              <w:left w:val="single" w:sz="4" w:space="0" w:color="000000"/>
            </w:tcBorders>
            <w:shd w:val="clear" w:color="auto" w:fill="auto"/>
          </w:tcPr>
          <w:p w:rsidR="00947727" w:rsidRPr="00F767B0" w:rsidRDefault="00947727" w:rsidP="003975BB">
            <w:pPr>
              <w:rPr>
                <w:rFonts w:cs="Arial"/>
                <w:sz w:val="20"/>
                <w:szCs w:val="20"/>
              </w:rPr>
            </w:pPr>
            <w:r w:rsidRPr="00F767B0">
              <w:rPr>
                <w:rFonts w:cs="Arial"/>
                <w:sz w:val="20"/>
                <w:szCs w:val="20"/>
              </w:rPr>
              <w:t xml:space="preserve">Справка о наличии производственных </w:t>
            </w:r>
            <w:r w:rsidRPr="00F767B0">
              <w:rPr>
                <w:rFonts w:cs="Arial"/>
                <w:sz w:val="20"/>
                <w:szCs w:val="20"/>
              </w:rPr>
              <w:lastRenderedPageBreak/>
              <w:t>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lastRenderedPageBreak/>
              <w:t>е</w:t>
            </w:r>
            <w:r w:rsidR="00947727" w:rsidRPr="00947727">
              <w:rPr>
                <w:rFonts w:cs="Arial"/>
                <w:sz w:val="20"/>
                <w:szCs w:val="20"/>
              </w:rPr>
              <w:t>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1 и более</w:t>
            </w:r>
          </w:p>
        </w:tc>
      </w:tr>
      <w:tr w:rsidR="00947727" w:rsidRPr="00656568"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lastRenderedPageBreak/>
              <w:t>7.12</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xml:space="preserve">- наличие грузоподъемной техники </w:t>
            </w:r>
            <w:r w:rsidRPr="00947727">
              <w:rPr>
                <w:rFonts w:cs="Arial"/>
                <w:sz w:val="20"/>
                <w:szCs w:val="20"/>
                <w:lang w:val="en-US"/>
              </w:rPr>
              <w:t>Q</w:t>
            </w:r>
            <w:r w:rsidRPr="00947727">
              <w:rPr>
                <w:rFonts w:cs="Arial"/>
                <w:sz w:val="20"/>
                <w:szCs w:val="20"/>
              </w:rPr>
              <w:t xml:space="preserve"> = от 16  до 100 т,</w:t>
            </w:r>
          </w:p>
        </w:tc>
        <w:tc>
          <w:tcPr>
            <w:tcW w:w="2779" w:type="dxa"/>
            <w:vMerge/>
            <w:tcBorders>
              <w:left w:val="single" w:sz="4" w:space="0" w:color="000000"/>
              <w:bottom w:val="single" w:sz="4" w:space="0" w:color="auto"/>
            </w:tcBorders>
            <w:shd w:val="clear" w:color="auto" w:fill="auto"/>
          </w:tcPr>
          <w:p w:rsidR="00947727" w:rsidRPr="00F767B0" w:rsidRDefault="00947727" w:rsidP="003975BB">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6C5714" w:rsidP="003975BB">
            <w:pPr>
              <w:rPr>
                <w:rFonts w:cs="Arial"/>
                <w:sz w:val="20"/>
                <w:szCs w:val="20"/>
              </w:rPr>
            </w:pPr>
            <w:r>
              <w:rPr>
                <w:rFonts w:cs="Arial"/>
                <w:sz w:val="20"/>
                <w:szCs w:val="20"/>
              </w:rPr>
              <w:t>е</w:t>
            </w:r>
            <w:r w:rsidR="00947727" w:rsidRPr="00947727">
              <w:rPr>
                <w:rFonts w:cs="Arial"/>
                <w:sz w:val="20"/>
                <w:szCs w:val="20"/>
              </w:rPr>
              <w:t>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3 и более</w:t>
            </w:r>
          </w:p>
        </w:tc>
      </w:tr>
      <w:tr w:rsidR="00947727" w:rsidTr="0094772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sz w:val="20"/>
                <w:szCs w:val="20"/>
              </w:rPr>
            </w:pPr>
            <w:r w:rsidRPr="00947727">
              <w:rPr>
                <w:sz w:val="20"/>
                <w:szCs w:val="20"/>
              </w:rPr>
              <w:t>7.13</w:t>
            </w:r>
          </w:p>
        </w:tc>
        <w:tc>
          <w:tcPr>
            <w:tcW w:w="3901"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779" w:type="dxa"/>
            <w:tcBorders>
              <w:top w:val="single" w:sz="4" w:space="0" w:color="auto"/>
              <w:left w:val="single" w:sz="4" w:space="0" w:color="000000"/>
              <w:bottom w:val="single" w:sz="4" w:space="0" w:color="auto"/>
            </w:tcBorders>
            <w:shd w:val="clear" w:color="auto" w:fill="auto"/>
          </w:tcPr>
          <w:p w:rsidR="00947727" w:rsidRPr="00F767B0" w:rsidRDefault="00947727" w:rsidP="003975BB">
            <w:pPr>
              <w:rPr>
                <w:rFonts w:cs="Arial"/>
                <w:sz w:val="20"/>
                <w:szCs w:val="20"/>
              </w:rPr>
            </w:pPr>
            <w:r w:rsidRPr="00F767B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727" w:rsidRPr="00947727" w:rsidRDefault="00947727" w:rsidP="003975BB">
            <w:pPr>
              <w:rPr>
                <w:rFonts w:cs="Arial"/>
                <w:sz w:val="20"/>
                <w:szCs w:val="20"/>
              </w:rPr>
            </w:pPr>
            <w:r w:rsidRPr="00947727">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w:t>
      </w:r>
      <w:r>
        <w:rPr>
          <w:szCs w:val="22"/>
        </w:rPr>
        <w:lastRenderedPageBreak/>
        <w:t>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91DAA">
        <w:rPr>
          <w:rFonts w:cs="Arial"/>
          <w:szCs w:val="22"/>
        </w:rPr>
        <w:t xml:space="preserve">делать </w:t>
      </w:r>
      <w:r w:rsidRPr="004C6E15">
        <w:rPr>
          <w:rFonts w:cs="Arial"/>
          <w:szCs w:val="22"/>
        </w:rPr>
        <w:t>оферты №</w:t>
      </w:r>
      <w:r w:rsidR="004C6E15" w:rsidRPr="004C6E15">
        <w:rPr>
          <w:rFonts w:cs="Arial"/>
          <w:szCs w:val="22"/>
        </w:rPr>
        <w:t>412</w:t>
      </w:r>
      <w:r w:rsidRPr="004C6E15">
        <w:rPr>
          <w:rFonts w:cs="Arial"/>
          <w:szCs w:val="22"/>
        </w:rPr>
        <w:t>-КР-201</w:t>
      </w:r>
      <w:r w:rsidR="009B0540" w:rsidRPr="004C6E15">
        <w:rPr>
          <w:rFonts w:cs="Arial"/>
          <w:szCs w:val="22"/>
        </w:rPr>
        <w:t>7</w:t>
      </w:r>
      <w:r>
        <w:rPr>
          <w:rFonts w:cs="Arial"/>
          <w:szCs w:val="22"/>
        </w:rPr>
        <w:t xml:space="preserve"> от </w:t>
      </w:r>
      <w:r w:rsidR="005740D9">
        <w:rPr>
          <w:rFonts w:cs="Arial"/>
          <w:szCs w:val="22"/>
        </w:rPr>
        <w:t>15.09.2017 г.</w:t>
      </w:r>
      <w:r w:rsidRPr="005740D9">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833345" w:rsidRPr="009E080F">
        <w:rPr>
          <w:rFonts w:cs="Arial"/>
          <w:b/>
          <w:szCs w:val="22"/>
        </w:rPr>
        <w:t xml:space="preserve">капитальному ремонту </w:t>
      </w:r>
      <w:r w:rsidR="00912DCE" w:rsidRPr="00912DCE">
        <w:rPr>
          <w:rFonts w:cs="Arial"/>
          <w:b/>
          <w:szCs w:val="22"/>
        </w:rPr>
        <w:t xml:space="preserve">установок </w:t>
      </w:r>
      <w:r w:rsidR="00F767B0">
        <w:rPr>
          <w:b/>
          <w:szCs w:val="22"/>
        </w:rPr>
        <w:t xml:space="preserve">ЭЛОУ-АТ-4, Висбрекинг ВТ-6 (паровыжиг) </w:t>
      </w:r>
      <w:r w:rsidR="00F767B0">
        <w:rPr>
          <w:b/>
          <w:szCs w:val="22"/>
          <w:lang w:val="en-US"/>
        </w:rPr>
        <w:t>I</w:t>
      </w:r>
      <w:r w:rsidR="00F767B0">
        <w:rPr>
          <w:b/>
          <w:szCs w:val="22"/>
        </w:rPr>
        <w:t xml:space="preserve"> полугодие цех №1 согласно графику простоев в 2018 г.</w:t>
      </w:r>
      <w:r w:rsidR="00F767B0" w:rsidRPr="00B64ABC">
        <w:rPr>
          <w:rFonts w:cs="Arial"/>
          <w:b/>
          <w:szCs w:val="22"/>
        </w:rPr>
        <w:t xml:space="preserve"> </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lastRenderedPageBreak/>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AC5CF2">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9"/>
        <w:gridCol w:w="3047"/>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912DCE" w:rsidP="00912DCE">
            <w:pPr>
              <w:jc w:val="both"/>
              <w:rPr>
                <w:rFonts w:cs="Arial"/>
                <w:sz w:val="20"/>
                <w:szCs w:val="20"/>
              </w:rPr>
            </w:pPr>
            <w:r>
              <w:rPr>
                <w:rFonts w:cs="Arial"/>
                <w:sz w:val="20"/>
                <w:szCs w:val="20"/>
              </w:rPr>
              <w:t>Лот №__</w:t>
            </w:r>
            <w:r w:rsidR="003123D4">
              <w:rPr>
                <w:rFonts w:cs="Arial"/>
                <w:sz w:val="20"/>
                <w:szCs w:val="20"/>
              </w:rPr>
              <w:t>.</w:t>
            </w:r>
            <w:r>
              <w:rPr>
                <w:rFonts w:cs="Arial"/>
                <w:sz w:val="20"/>
                <w:szCs w:val="20"/>
              </w:rPr>
              <w:t>.</w:t>
            </w:r>
            <w:r w:rsidR="00A83BB2" w:rsidRPr="00687699">
              <w:rPr>
                <w:rFonts w:cs="Arial"/>
                <w:sz w:val="20"/>
                <w:szCs w:val="20"/>
              </w:rPr>
              <w:t xml:space="preserve">Выполнение работ по </w:t>
            </w:r>
            <w:r w:rsidR="00833345" w:rsidRPr="00833345">
              <w:rPr>
                <w:rFonts w:cs="Arial"/>
                <w:sz w:val="20"/>
                <w:szCs w:val="20"/>
              </w:rPr>
              <w:t xml:space="preserve">капитальному ремонту установки </w:t>
            </w:r>
            <w:r>
              <w:rPr>
                <w:rFonts w:cs="Arial"/>
                <w:sz w:val="20"/>
                <w:szCs w:val="20"/>
              </w:rPr>
              <w:t>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Default="00912DCE" w:rsidP="0006235C">
      <w:pPr>
        <w:pStyle w:val="ac"/>
        <w:spacing w:before="0"/>
        <w:ind w:left="780"/>
        <w:jc w:val="both"/>
        <w:rPr>
          <w:rFonts w:cs="Arial"/>
          <w:szCs w:val="22"/>
        </w:rPr>
      </w:pPr>
      <w:r>
        <w:rPr>
          <w:rFonts w:cs="Arial"/>
          <w:szCs w:val="22"/>
        </w:rPr>
        <w:t>* - заполняется для каждого лота отдельно</w:t>
      </w:r>
    </w:p>
    <w:p w:rsidR="00912DCE" w:rsidRPr="00C55087" w:rsidRDefault="00912DCE"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FA012A" w:rsidP="00A83BB2">
      <w:pPr>
        <w:pStyle w:val="8"/>
        <w:numPr>
          <w:ilvl w:val="0"/>
          <w:numId w:val="0"/>
        </w:numPr>
        <w:ind w:left="1440"/>
      </w:pPr>
      <w:r>
        <w:rPr>
          <w:noProof/>
          <w:lang w:eastAsia="ru-RU"/>
        </w:rPr>
        <mc:AlternateContent>
          <mc:Choice Requires="wps">
            <w:drawing>
              <wp:anchor distT="0" distB="0" distL="114935" distR="114935" simplePos="0" relativeHeight="251660288" behindDoc="0" locked="0" layoutInCell="1" allowOverlap="1">
                <wp:simplePos x="0" y="0"/>
                <wp:positionH relativeFrom="column">
                  <wp:posOffset>-69215</wp:posOffset>
                </wp:positionH>
                <wp:positionV relativeFrom="paragraph">
                  <wp:posOffset>51435</wp:posOffset>
                </wp:positionV>
                <wp:extent cx="2259965" cy="340995"/>
                <wp:effectExtent l="1270" t="3810" r="571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965" cy="340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75BB" w:rsidRDefault="003975BB" w:rsidP="00A83BB2">
                            <w:pPr>
                              <w:rPr>
                                <w:sz w:val="24"/>
                                <w:lang w:val="en-US"/>
                              </w:rPr>
                            </w:pPr>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5pt;margin-top:4.05pt;width:177.95pt;height:26.8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iaiwIAABw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" stroked="f">
                <v:fill opacity="0"/>
                <v:textbox inset="0,0,0,0">
                  <w:txbxContent>
                    <w:p w:rsidR="003975BB" w:rsidRDefault="003975BB" w:rsidP="00A83BB2">
                      <w:pPr>
                        <w:rPr>
                          <w:sz w:val="24"/>
                          <w:lang w:val="en-US"/>
                        </w:rPr>
                      </w:pPr>
                      <w:r>
                        <w:rPr>
                          <w:sz w:val="24"/>
                          <w:lang w:val="en-US"/>
                        </w:rPr>
                        <w:t>&lt;</w:t>
                      </w:r>
                      <w:r>
                        <w:rPr>
                          <w:sz w:val="24"/>
                        </w:rPr>
                        <w:t>Наименование организации</w:t>
                      </w:r>
                      <w:r>
                        <w:rPr>
                          <w:sz w:val="24"/>
                          <w:lang w:val="en-US"/>
                        </w:rPr>
                        <w:t>&gt;</w:t>
                      </w:r>
                    </w:p>
                  </w:txbxContent>
                </v:textbox>
              </v:shape>
            </w:pict>
          </mc:Fallback>
        </mc:AlternateConten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833345" w:rsidRPr="009E080F">
        <w:rPr>
          <w:rFonts w:cs="Arial"/>
          <w:b/>
          <w:szCs w:val="22"/>
        </w:rPr>
        <w:t xml:space="preserve">капитальному ремонту установки </w:t>
      </w:r>
      <w:r w:rsidR="00F9019F">
        <w:rPr>
          <w:rFonts w:cs="Arial"/>
          <w:b/>
          <w:szCs w:val="22"/>
        </w:rPr>
        <w:t>________________________</w:t>
      </w:r>
      <w:r w:rsidR="00833345">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AC5CF2">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r w:rsidR="00833345">
        <w:rPr>
          <w:rFonts w:ascii="Times New Roman" w:hAnsi="Times New Roman"/>
          <w:sz w:val="24"/>
        </w:rPr>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CF46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CF46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833345" w:rsidRPr="008212CE" w:rsidTr="00CF4692">
        <w:trPr>
          <w:trHeight w:val="525"/>
        </w:trPr>
        <w:tc>
          <w:tcPr>
            <w:tcW w:w="520" w:type="dxa"/>
            <w:tcBorders>
              <w:top w:val="nil"/>
              <w:left w:val="nil"/>
              <w:bottom w:val="nil"/>
              <w:right w:val="nil"/>
            </w:tcBorders>
            <w:shd w:val="clear" w:color="auto" w:fill="auto"/>
            <w:vAlign w:val="center"/>
            <w:hideMark/>
          </w:tcPr>
          <w:p w:rsidR="00833345" w:rsidRPr="008212CE" w:rsidRDefault="00833345" w:rsidP="00CF46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833345" w:rsidRPr="008212CE" w:rsidRDefault="00833345" w:rsidP="00E17E2D">
            <w:pPr>
              <w:rPr>
                <w:b/>
                <w:bCs/>
                <w:sz w:val="18"/>
                <w:szCs w:val="18"/>
              </w:rPr>
            </w:pPr>
            <w:r w:rsidRPr="008212CE">
              <w:rPr>
                <w:b/>
                <w:bCs/>
                <w:sz w:val="18"/>
                <w:szCs w:val="18"/>
              </w:rPr>
              <w:t xml:space="preserve">Работы по капитальному ремонту </w:t>
            </w:r>
            <w:r w:rsidR="00E17E2D">
              <w:rPr>
                <w:b/>
                <w:bCs/>
                <w:sz w:val="18"/>
                <w:szCs w:val="18"/>
              </w:rPr>
              <w:t xml:space="preserve">установок </w:t>
            </w:r>
            <w:r w:rsidR="00F767B0" w:rsidRPr="00F767B0">
              <w:rPr>
                <w:b/>
                <w:bCs/>
                <w:sz w:val="18"/>
                <w:szCs w:val="18"/>
              </w:rPr>
              <w:t>ЭЛОУ-АТ-4, Висбрекинг ВТ-6 (паровыжиг) I полугодие цех №1 согласно графику простоев в 2018 г.</w:t>
            </w:r>
          </w:p>
        </w:tc>
      </w:tr>
      <w:tr w:rsidR="00833345" w:rsidRPr="008212CE" w:rsidTr="00CF46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CF46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CF46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CF4692">
            <w:r w:rsidRPr="008212CE">
              <w:rPr>
                <w:szCs w:val="22"/>
              </w:rPr>
              <w:t>Предложение претендента (оферта)</w:t>
            </w:r>
          </w:p>
        </w:tc>
      </w:tr>
      <w:tr w:rsidR="00833345" w:rsidRPr="008212CE" w:rsidTr="00CF46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CF46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CF46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CF46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CF4692">
            <w:r w:rsidRPr="008212CE">
              <w:rPr>
                <w:szCs w:val="22"/>
              </w:rPr>
              <w:t>сумма, руб.</w:t>
            </w:r>
          </w:p>
        </w:tc>
      </w:tr>
      <w:tr w:rsidR="00833345" w:rsidRPr="008212CE" w:rsidTr="00CF46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CF46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xml:space="preserve"> - </w:t>
            </w:r>
          </w:p>
        </w:tc>
      </w:tr>
      <w:tr w:rsidR="00833345" w:rsidRPr="008212CE" w:rsidTr="00CF46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CF46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r w:rsidRPr="008212CE">
              <w:rPr>
                <w:szCs w:val="22"/>
              </w:rPr>
              <w:t> </w:t>
            </w:r>
          </w:p>
        </w:tc>
      </w:tr>
      <w:tr w:rsidR="00833345" w:rsidRPr="008212CE" w:rsidTr="00CF46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CF4692">
            <w:pPr>
              <w:rPr>
                <w:i/>
                <w:iCs/>
              </w:rPr>
            </w:pPr>
            <w:r>
              <w:rPr>
                <w:i/>
                <w:iCs/>
                <w:szCs w:val="22"/>
              </w:rPr>
              <w:t>18,04</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ЗП * (Кст - 1)</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875BDC">
            <w:pPr>
              <w:rPr>
                <w:i/>
                <w:iCs/>
              </w:rPr>
            </w:pPr>
            <w:r w:rsidRPr="008212CE">
              <w:rPr>
                <w:i/>
                <w:iCs/>
                <w:szCs w:val="22"/>
              </w:rPr>
              <w:t>1</w:t>
            </w:r>
            <w:r w:rsidR="00875BDC">
              <w:rPr>
                <w:i/>
                <w:iCs/>
                <w:szCs w:val="22"/>
              </w:rPr>
              <w:t>4,96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НР</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СП</w:t>
            </w:r>
          </w:p>
        </w:tc>
      </w:tr>
      <w:tr w:rsidR="00833345" w:rsidRPr="008212CE" w:rsidTr="00CF46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МАТ-П</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МАТ-П * Ктр.п</w:t>
            </w:r>
          </w:p>
        </w:tc>
      </w:tr>
      <w:tr w:rsidR="00833345" w:rsidRPr="008212CE" w:rsidTr="00CF46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ОБ</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ОБ * Ктр.об</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в расчете не учитываются</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 Ктр.з</w:t>
            </w:r>
          </w:p>
        </w:tc>
      </w:tr>
      <w:tr w:rsidR="00833345" w:rsidRPr="008212CE" w:rsidTr="0083334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ЭММ</w:t>
            </w:r>
          </w:p>
        </w:tc>
      </w:tr>
      <w:tr w:rsidR="00833345" w:rsidRPr="008212CE" w:rsidTr="0083334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пп.2-7;10-12 * ЗУ</w:t>
            </w:r>
          </w:p>
        </w:tc>
      </w:tr>
      <w:tr w:rsidR="00833345" w:rsidRPr="008212CE" w:rsidTr="00CF4692">
        <w:trPr>
          <w:trHeight w:val="315"/>
        </w:trPr>
        <w:tc>
          <w:tcPr>
            <w:tcW w:w="52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833345" w:rsidRPr="008212CE" w:rsidRDefault="00833345" w:rsidP="00CF4692">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833345" w:rsidRPr="008212CE" w:rsidRDefault="00833345" w:rsidP="00CF4692">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833345" w:rsidRPr="008212CE" w:rsidRDefault="00833345" w:rsidP="00CF4692">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w:t>
            </w:r>
          </w:p>
        </w:tc>
      </w:tr>
      <w:tr w:rsidR="00833345" w:rsidRPr="008212CE" w:rsidTr="00CF4692">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833345" w:rsidRPr="008212CE" w:rsidRDefault="00833345" w:rsidP="00CF4692">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пп. 2-14</w:t>
            </w:r>
          </w:p>
        </w:tc>
      </w:tr>
      <w:tr w:rsidR="00833345" w:rsidRPr="008212CE" w:rsidTr="00CF46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CF46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5BB" w:rsidRDefault="003975BB" w:rsidP="00FB07D9">
      <w:pPr>
        <w:spacing w:before="0"/>
      </w:pPr>
      <w:r>
        <w:separator/>
      </w:r>
    </w:p>
  </w:endnote>
  <w:endnote w:type="continuationSeparator" w:id="0">
    <w:p w:rsidR="003975BB" w:rsidRDefault="003975B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5BB" w:rsidRDefault="003975B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5BB" w:rsidRDefault="003975BB" w:rsidP="00FB07D9">
      <w:pPr>
        <w:spacing w:before="0"/>
      </w:pPr>
      <w:r>
        <w:separator/>
      </w:r>
    </w:p>
  </w:footnote>
  <w:footnote w:type="continuationSeparator" w:id="0">
    <w:p w:rsidR="003975BB" w:rsidRDefault="003975B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556"/>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5BB"/>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0D9"/>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6DB"/>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400"/>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4B57"/>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5CF2"/>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CD7"/>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3F1"/>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5E6F"/>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BEA"/>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12A"/>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1A18"/>
  <w15:docId w15:val="{B2B13EAF-7315-4C15-A20D-DE1F27FF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411046">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4635</Words>
  <Characters>26421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5</cp:revision>
  <cp:lastPrinted>2017-09-15T08:01:00Z</cp:lastPrinted>
  <dcterms:created xsi:type="dcterms:W3CDTF">2017-09-15T08:26:00Z</dcterms:created>
  <dcterms:modified xsi:type="dcterms:W3CDTF">2017-09-15T10:15:00Z</dcterms:modified>
</cp:coreProperties>
</file>